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DD" w:rsidRDefault="004E63DD" w:rsidP="004E63DD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</w:p>
    <w:p w:rsidR="004E63DD" w:rsidRPr="008805F3" w:rsidRDefault="004E63DD" w:rsidP="004E63DD">
      <w:pPr>
        <w:spacing w:after="0" w:line="240" w:lineRule="auto"/>
        <w:jc w:val="right"/>
        <w:rPr>
          <w:rFonts w:ascii="Garamond" w:hAnsi="Garamond" w:cs="Times New Roman"/>
          <w:b/>
          <w:bCs/>
          <w:sz w:val="24"/>
          <w:szCs w:val="24"/>
        </w:rPr>
      </w:pPr>
      <w:r w:rsidRPr="008805F3">
        <w:rPr>
          <w:rFonts w:ascii="Garamond" w:hAnsi="Garamond" w:cs="Times New Roman"/>
          <w:b/>
          <w:bCs/>
          <w:sz w:val="24"/>
          <w:szCs w:val="24"/>
        </w:rPr>
        <w:t>1. számú melléklet</w:t>
      </w:r>
    </w:p>
    <w:p w:rsidR="004E63DD" w:rsidRPr="008805F3" w:rsidRDefault="004E63DD" w:rsidP="004E63DD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805F3">
        <w:rPr>
          <w:rFonts w:ascii="Garamond" w:hAnsi="Garamond" w:cs="Times New Roman"/>
          <w:b/>
          <w:bCs/>
          <w:sz w:val="28"/>
          <w:szCs w:val="28"/>
        </w:rPr>
        <w:t>MŰSZAKI LEÍRÁS</w:t>
      </w:r>
    </w:p>
    <w:p w:rsidR="004E63DD" w:rsidRDefault="004E63DD" w:rsidP="004E63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E63DD" w:rsidRDefault="004E63DD" w:rsidP="004E63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E63DD" w:rsidRDefault="004E63DD" w:rsidP="004E63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640B1">
        <w:rPr>
          <w:rFonts w:ascii="Garamond" w:hAnsi="Garamond" w:cs="Times New Roman"/>
          <w:sz w:val="24"/>
          <w:szCs w:val="24"/>
        </w:rPr>
        <w:t xml:space="preserve">A </w:t>
      </w:r>
      <w:proofErr w:type="spellStart"/>
      <w:r w:rsidRPr="00C640B1">
        <w:rPr>
          <w:rFonts w:ascii="Garamond" w:hAnsi="Garamond" w:cs="Times New Roman"/>
          <w:sz w:val="24"/>
          <w:szCs w:val="24"/>
        </w:rPr>
        <w:t>derecskei</w:t>
      </w:r>
      <w:proofErr w:type="spellEnd"/>
      <w:r w:rsidRPr="00C640B1">
        <w:rPr>
          <w:rFonts w:ascii="Garamond" w:hAnsi="Garamond" w:cs="Times New Roman"/>
          <w:sz w:val="24"/>
          <w:szCs w:val="24"/>
        </w:rPr>
        <w:t xml:space="preserve"> 3402/3 helyrajzi számú, 4130 Derecske, Köztérsaság út 36.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C640B1">
        <w:rPr>
          <w:rFonts w:ascii="Garamond" w:hAnsi="Garamond" w:cs="Times New Roman"/>
          <w:sz w:val="24"/>
          <w:szCs w:val="24"/>
        </w:rPr>
        <w:t xml:space="preserve">szám alatt lévő műhely épület és közösségi tér funkciójú helyiségei az alábbi </w:t>
      </w:r>
      <w:r>
        <w:rPr>
          <w:rFonts w:ascii="Garamond" w:hAnsi="Garamond" w:cs="Times New Roman"/>
          <w:sz w:val="24"/>
          <w:szCs w:val="24"/>
        </w:rPr>
        <w:t xml:space="preserve">műszaki </w:t>
      </w:r>
      <w:r w:rsidRPr="00C640B1">
        <w:rPr>
          <w:rFonts w:ascii="Garamond" w:hAnsi="Garamond" w:cs="Times New Roman"/>
          <w:sz w:val="24"/>
          <w:szCs w:val="24"/>
        </w:rPr>
        <w:t>tartalommal rendelkezik:</w:t>
      </w:r>
    </w:p>
    <w:p w:rsidR="004E63DD" w:rsidRPr="008805F3" w:rsidRDefault="004E63DD" w:rsidP="004E63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E63DD" w:rsidRPr="00C640B1" w:rsidRDefault="004E63DD" w:rsidP="004E63DD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Közösségi tér funkciójú </w:t>
      </w:r>
      <w:r w:rsidRPr="008805F3">
        <w:rPr>
          <w:rFonts w:ascii="Garamond" w:hAnsi="Garamond" w:cs="Times New Roman"/>
          <w:b/>
          <w:bCs/>
          <w:sz w:val="24"/>
          <w:szCs w:val="24"/>
        </w:rPr>
        <w:t>épület</w:t>
      </w:r>
      <w:r>
        <w:rPr>
          <w:rFonts w:ascii="Garamond" w:hAnsi="Garamond" w:cs="Times New Roman"/>
          <w:b/>
          <w:bCs/>
          <w:sz w:val="24"/>
          <w:szCs w:val="24"/>
        </w:rPr>
        <w:t>rész</w:t>
      </w:r>
    </w:p>
    <w:p w:rsidR="004E63DD" w:rsidRDefault="004E63DD" w:rsidP="004E63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Rcsostblzat"/>
        <w:tblW w:w="8782" w:type="dxa"/>
        <w:tblLook w:val="04A0" w:firstRow="1" w:lastRow="0" w:firstColumn="1" w:lastColumn="0" w:noHBand="0" w:noVBand="1"/>
      </w:tblPr>
      <w:tblGrid>
        <w:gridCol w:w="2037"/>
        <w:gridCol w:w="2658"/>
        <w:gridCol w:w="2217"/>
        <w:gridCol w:w="1870"/>
      </w:tblGrid>
      <w:tr w:rsidR="004E63DD" w:rsidTr="00D57CCB">
        <w:tc>
          <w:tcPr>
            <w:tcW w:w="8782" w:type="dxa"/>
            <w:gridSpan w:val="4"/>
            <w:shd w:val="clear" w:color="auto" w:fill="AEAAAA" w:themeFill="background2" w:themeFillShade="BF"/>
          </w:tcPr>
          <w:p w:rsidR="004E63DD" w:rsidRPr="00457103" w:rsidRDefault="004E63DD" w:rsidP="00D57CCB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457103">
              <w:rPr>
                <w:rFonts w:ascii="Garamond" w:hAnsi="Garamond" w:cs="Times New Roman"/>
                <w:b/>
                <w:bCs/>
                <w:sz w:val="24"/>
                <w:szCs w:val="24"/>
              </w:rPr>
              <w:t>Közösségi tér funkciójú épület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rész</w:t>
            </w:r>
            <w:r w:rsidRPr="00457103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helyiségei</w:t>
            </w:r>
          </w:p>
        </w:tc>
      </w:tr>
      <w:tr w:rsidR="004E63DD" w:rsidRPr="009C2478" w:rsidTr="00D57CCB">
        <w:tc>
          <w:tcPr>
            <w:tcW w:w="2037" w:type="dxa"/>
          </w:tcPr>
          <w:p w:rsidR="004E63DD" w:rsidRPr="009C2478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Helyiség száma</w:t>
            </w:r>
          </w:p>
        </w:tc>
        <w:tc>
          <w:tcPr>
            <w:tcW w:w="2658" w:type="dxa"/>
          </w:tcPr>
          <w:p w:rsidR="004E63DD" w:rsidRPr="009C2478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Helyiség megnevezése</w:t>
            </w:r>
          </w:p>
        </w:tc>
        <w:tc>
          <w:tcPr>
            <w:tcW w:w="221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Burkolat</w:t>
            </w:r>
          </w:p>
        </w:tc>
        <w:tc>
          <w:tcPr>
            <w:tcW w:w="1870" w:type="dxa"/>
          </w:tcPr>
          <w:p w:rsidR="004E63DD" w:rsidRPr="009C2478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Hasznos terület (m2)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001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Közlekedő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12,61m2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002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Mozgáskorlátozott WC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7,57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003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Közösségi tér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50,56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004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Pihenő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14,46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005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Férfi előtér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2,24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006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Pissoár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3,05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007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Férfi WC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1,55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008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Takarító szertár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0,94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009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Női előtér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2,62</w:t>
            </w:r>
          </w:p>
        </w:tc>
      </w:tr>
      <w:tr w:rsidR="004E63DD" w:rsidTr="00D57CCB">
        <w:tc>
          <w:tcPr>
            <w:tcW w:w="2037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010</w:t>
            </w:r>
          </w:p>
        </w:tc>
        <w:tc>
          <w:tcPr>
            <w:tcW w:w="2658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Női WC</w:t>
            </w:r>
          </w:p>
        </w:tc>
        <w:tc>
          <w:tcPr>
            <w:tcW w:w="2217" w:type="dxa"/>
            <w:shd w:val="clear" w:color="auto" w:fill="auto"/>
          </w:tcPr>
          <w:p w:rsidR="004E63DD" w:rsidRPr="004A17DB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</w:rPr>
            </w:pPr>
            <w:r w:rsidRPr="004A17DB">
              <w:rPr>
                <w:rFonts w:ascii="Garamond" w:hAnsi="Garamond"/>
                <w:sz w:val="21"/>
                <w:szCs w:val="21"/>
              </w:rPr>
              <w:t>hidegburkolat (</w:t>
            </w:r>
            <w:proofErr w:type="spellStart"/>
            <w:r w:rsidRPr="004A17DB">
              <w:rPr>
                <w:rFonts w:ascii="Garamond" w:hAnsi="Garamond"/>
                <w:sz w:val="21"/>
                <w:szCs w:val="21"/>
              </w:rPr>
              <w:t>csemepe</w:t>
            </w:r>
            <w:proofErr w:type="spellEnd"/>
            <w:r w:rsidRPr="004A17DB">
              <w:rPr>
                <w:rFonts w:ascii="Garamond" w:hAnsi="Garamond"/>
                <w:sz w:val="21"/>
                <w:szCs w:val="21"/>
              </w:rPr>
              <w:t>)</w:t>
            </w:r>
          </w:p>
        </w:tc>
        <w:tc>
          <w:tcPr>
            <w:tcW w:w="1870" w:type="dxa"/>
          </w:tcPr>
          <w:p w:rsidR="004E63DD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1,43</w:t>
            </w:r>
          </w:p>
        </w:tc>
      </w:tr>
      <w:tr w:rsidR="004E63DD" w:rsidTr="00D57CCB">
        <w:tc>
          <w:tcPr>
            <w:tcW w:w="4695" w:type="dxa"/>
            <w:gridSpan w:val="2"/>
            <w:shd w:val="clear" w:color="auto" w:fill="D0CECE" w:themeFill="background2" w:themeFillShade="E6"/>
          </w:tcPr>
          <w:p w:rsidR="004E63DD" w:rsidRPr="00C640B1" w:rsidRDefault="004E63DD" w:rsidP="00D57CCB">
            <w:pPr>
              <w:pStyle w:val="NormlWeb"/>
              <w:spacing w:beforeAutospacing="0" w:after="0" w:afterAutospacing="0"/>
              <w:rPr>
                <w:rFonts w:ascii="Garamond" w:hAnsi="Garamond"/>
                <w:b/>
                <w:bCs/>
              </w:rPr>
            </w:pPr>
            <w:r w:rsidRPr="00C640B1">
              <w:rPr>
                <w:rFonts w:ascii="Garamond" w:hAnsi="Garamond"/>
                <w:b/>
                <w:bCs/>
              </w:rPr>
              <w:t>Közösségi tér összesen</w:t>
            </w:r>
          </w:p>
        </w:tc>
        <w:tc>
          <w:tcPr>
            <w:tcW w:w="2217" w:type="dxa"/>
            <w:shd w:val="clear" w:color="auto" w:fill="C9C9C9" w:themeFill="accent3" w:themeFillTint="99"/>
          </w:tcPr>
          <w:p w:rsidR="004E63DD" w:rsidRPr="00C640B1" w:rsidRDefault="004E63DD" w:rsidP="00D57CCB">
            <w:pPr>
              <w:pStyle w:val="NormlWeb"/>
              <w:tabs>
                <w:tab w:val="left" w:pos="313"/>
              </w:tabs>
              <w:spacing w:beforeAutospacing="0" w:after="0" w:afterAutospacing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ab/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4E63DD" w:rsidRPr="00C640B1" w:rsidRDefault="004E63DD" w:rsidP="00D57CCB">
            <w:pPr>
              <w:pStyle w:val="NormlWeb"/>
              <w:spacing w:beforeAutospacing="0" w:after="0" w:afterAutospacing="0"/>
              <w:jc w:val="center"/>
              <w:rPr>
                <w:rFonts w:ascii="Garamond" w:hAnsi="Garamond"/>
                <w:b/>
                <w:bCs/>
              </w:rPr>
            </w:pPr>
            <w:r w:rsidRPr="00C640B1">
              <w:rPr>
                <w:rFonts w:ascii="Garamond" w:hAnsi="Garamond"/>
                <w:b/>
                <w:bCs/>
              </w:rPr>
              <w:t>97,04</w:t>
            </w:r>
          </w:p>
        </w:tc>
      </w:tr>
    </w:tbl>
    <w:p w:rsidR="004E63DD" w:rsidRPr="008470D1" w:rsidRDefault="004E63DD" w:rsidP="004E63DD">
      <w:pPr>
        <w:pStyle w:val="NormlWeb"/>
        <w:spacing w:after="0"/>
        <w:jc w:val="both"/>
      </w:pPr>
      <w:bookmarkStart w:id="0" w:name="_Hlk46927532"/>
      <w:r w:rsidRPr="008805F3">
        <w:rPr>
          <w:rFonts w:ascii="Garamond" w:hAnsi="Garamond"/>
        </w:rPr>
        <w:t>A</w:t>
      </w:r>
      <w:r>
        <w:rPr>
          <w:rFonts w:ascii="Garamond" w:hAnsi="Garamond"/>
        </w:rPr>
        <w:t xml:space="preserve"> Közösségi tér funkciójú épület</w:t>
      </w:r>
      <w:r w:rsidRPr="008805F3">
        <w:rPr>
          <w:rFonts w:ascii="Garamond" w:hAnsi="Garamond"/>
        </w:rPr>
        <w:t xml:space="preserve"> bejárata a Derecske, Köztársaság út felől közelíthető meg. </w:t>
      </w:r>
      <w:r>
        <w:rPr>
          <w:rFonts w:ascii="Garamond" w:hAnsi="Garamond"/>
        </w:rPr>
        <w:t>A személygépkocsival történő p</w:t>
      </w:r>
      <w:r w:rsidRPr="008805F3">
        <w:rPr>
          <w:rFonts w:ascii="Garamond" w:hAnsi="Garamond"/>
        </w:rPr>
        <w:t>arkolási lehetőséget az épület</w:t>
      </w:r>
      <w:r>
        <w:rPr>
          <w:rFonts w:ascii="Garamond" w:hAnsi="Garamond"/>
        </w:rPr>
        <w:t xml:space="preserve"> bejáratával szemben lévő</w:t>
      </w:r>
      <w:r w:rsidRPr="008805F3">
        <w:rPr>
          <w:rFonts w:ascii="Garamond" w:hAnsi="Garamond"/>
        </w:rPr>
        <w:t xml:space="preserve"> parkolók biztosítják. A</w:t>
      </w:r>
      <w:r>
        <w:rPr>
          <w:rFonts w:ascii="Garamond" w:hAnsi="Garamond"/>
        </w:rPr>
        <w:t xml:space="preserve"> </w:t>
      </w:r>
      <w:r w:rsidRPr="008805F3">
        <w:rPr>
          <w:rFonts w:ascii="Garamond" w:hAnsi="Garamond"/>
        </w:rPr>
        <w:t>helyiség víz-, és s</w:t>
      </w:r>
      <w:r>
        <w:rPr>
          <w:rFonts w:ascii="Garamond" w:hAnsi="Garamond"/>
        </w:rPr>
        <w:t xml:space="preserve">zennyvízbekötéssel rendelkezik. </w:t>
      </w:r>
      <w:r w:rsidRPr="008805F3">
        <w:rPr>
          <w:rFonts w:ascii="Garamond" w:hAnsi="Garamond"/>
        </w:rPr>
        <w:t>A helyiség elektromos fogyasztását a</w:t>
      </w:r>
      <w:r>
        <w:rPr>
          <w:rFonts w:ascii="Garamond" w:hAnsi="Garamond"/>
        </w:rPr>
        <w:t>z</w:t>
      </w:r>
      <w:r w:rsidRPr="008805F3">
        <w:rPr>
          <w:rFonts w:ascii="Garamond" w:hAnsi="Garamond"/>
        </w:rPr>
        <w:t xml:space="preserve"> épület </w:t>
      </w:r>
      <w:r>
        <w:rPr>
          <w:rFonts w:ascii="Garamond" w:hAnsi="Garamond"/>
        </w:rPr>
        <w:t>utcafront</w:t>
      </w:r>
      <w:r w:rsidRPr="008805F3">
        <w:rPr>
          <w:rFonts w:ascii="Garamond" w:hAnsi="Garamond"/>
        </w:rPr>
        <w:t xml:space="preserve"> felőli oldalán elhelyezett csoportos mérőszekrényben lévő mérő jelzi. </w:t>
      </w:r>
      <w:bookmarkEnd w:id="0"/>
      <w:r w:rsidRPr="008470D1">
        <w:rPr>
          <w:rFonts w:ascii="Garamond" w:hAnsi="Garamond"/>
          <w:shd w:val="clear" w:color="auto" w:fill="FFFFFF"/>
        </w:rPr>
        <w:t>A helyiség központi fűtéssel (lapradiátorok) rendelkezik.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26"/>
        <w:gridCol w:w="2928"/>
        <w:gridCol w:w="2928"/>
      </w:tblGrid>
      <w:tr w:rsidR="004E63DD" w:rsidRPr="008805F3" w:rsidTr="00D57CCB">
        <w:tc>
          <w:tcPr>
            <w:tcW w:w="8782" w:type="dxa"/>
            <w:gridSpan w:val="3"/>
            <w:shd w:val="clear" w:color="auto" w:fill="BFBFBF" w:themeFill="background1" w:themeFillShade="BF"/>
            <w:vAlign w:val="center"/>
          </w:tcPr>
          <w:p w:rsidR="004E63DD" w:rsidRPr="00457103" w:rsidRDefault="004E63DD" w:rsidP="00D57CCB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bookmarkStart w:id="1" w:name="_Hlk46927557"/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Lakatos műhelyek</w:t>
            </w:r>
          </w:p>
        </w:tc>
      </w:tr>
      <w:tr w:rsidR="004E63DD" w:rsidRPr="008805F3" w:rsidTr="00D57CCB">
        <w:tc>
          <w:tcPr>
            <w:tcW w:w="2926" w:type="dxa"/>
            <w:vAlign w:val="center"/>
          </w:tcPr>
          <w:p w:rsidR="004E63DD" w:rsidRPr="008805F3" w:rsidRDefault="004E63DD" w:rsidP="00D57CC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8805F3">
              <w:rPr>
                <w:rFonts w:ascii="Garamond" w:hAnsi="Garamond" w:cs="Times New Roman"/>
                <w:b/>
                <w:bCs/>
                <w:sz w:val="24"/>
                <w:szCs w:val="24"/>
              </w:rPr>
              <w:t>Helyiségnév</w:t>
            </w:r>
          </w:p>
        </w:tc>
        <w:tc>
          <w:tcPr>
            <w:tcW w:w="2928" w:type="dxa"/>
            <w:vAlign w:val="center"/>
          </w:tcPr>
          <w:p w:rsidR="004E63DD" w:rsidRPr="008805F3" w:rsidRDefault="004E63DD" w:rsidP="00D57CC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Burkolat</w:t>
            </w:r>
          </w:p>
        </w:tc>
        <w:tc>
          <w:tcPr>
            <w:tcW w:w="2928" w:type="dxa"/>
            <w:vAlign w:val="center"/>
          </w:tcPr>
          <w:p w:rsidR="004E63DD" w:rsidRPr="008805F3" w:rsidRDefault="004E63DD" w:rsidP="00D57CC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8805F3">
              <w:rPr>
                <w:rFonts w:ascii="Garamond" w:hAnsi="Garamond" w:cs="Times New Roman"/>
                <w:b/>
                <w:bCs/>
                <w:sz w:val="24"/>
                <w:szCs w:val="24"/>
              </w:rPr>
              <w:t>Hasznos m2</w:t>
            </w:r>
          </w:p>
        </w:tc>
      </w:tr>
      <w:tr w:rsidR="004E63DD" w:rsidRPr="008805F3" w:rsidTr="00D57CCB">
        <w:trPr>
          <w:trHeight w:val="300"/>
        </w:trPr>
        <w:tc>
          <w:tcPr>
            <w:tcW w:w="2926" w:type="dxa"/>
            <w:noWrap/>
            <w:hideMark/>
          </w:tcPr>
          <w:p w:rsidR="004E63DD" w:rsidRPr="008805F3" w:rsidRDefault="004E63DD" w:rsidP="00D57C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Lakatos műhely I.</w:t>
            </w:r>
          </w:p>
        </w:tc>
        <w:tc>
          <w:tcPr>
            <w:tcW w:w="2928" w:type="dxa"/>
            <w:noWrap/>
            <w:vAlign w:val="center"/>
            <w:hideMark/>
          </w:tcPr>
          <w:p w:rsidR="004E63DD" w:rsidRPr="008805F3" w:rsidRDefault="004E63DD" w:rsidP="00D57C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simított beton</w:t>
            </w:r>
          </w:p>
        </w:tc>
        <w:tc>
          <w:tcPr>
            <w:tcW w:w="2928" w:type="dxa"/>
            <w:noWrap/>
            <w:hideMark/>
          </w:tcPr>
          <w:p w:rsidR="004E63DD" w:rsidRPr="00457103" w:rsidRDefault="004E63DD" w:rsidP="00D57C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457103">
              <w:rPr>
                <w:rFonts w:ascii="Garamond" w:hAnsi="Garamond"/>
                <w:sz w:val="24"/>
                <w:szCs w:val="24"/>
              </w:rPr>
              <w:t>142,33</w:t>
            </w:r>
          </w:p>
        </w:tc>
      </w:tr>
      <w:tr w:rsidR="004E63DD" w:rsidRPr="008805F3" w:rsidTr="00D57CCB">
        <w:trPr>
          <w:trHeight w:val="300"/>
        </w:trPr>
        <w:tc>
          <w:tcPr>
            <w:tcW w:w="2926" w:type="dxa"/>
            <w:noWrap/>
            <w:hideMark/>
          </w:tcPr>
          <w:p w:rsidR="004E63DD" w:rsidRPr="008805F3" w:rsidRDefault="004E63DD" w:rsidP="00D57C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Lakatos műhely II.</w:t>
            </w:r>
          </w:p>
        </w:tc>
        <w:tc>
          <w:tcPr>
            <w:tcW w:w="2928" w:type="dxa"/>
            <w:noWrap/>
            <w:vAlign w:val="center"/>
            <w:hideMark/>
          </w:tcPr>
          <w:p w:rsidR="004E63DD" w:rsidRPr="008805F3" w:rsidRDefault="004E63DD" w:rsidP="00D57C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simított beton</w:t>
            </w:r>
          </w:p>
        </w:tc>
        <w:tc>
          <w:tcPr>
            <w:tcW w:w="2928" w:type="dxa"/>
            <w:noWrap/>
            <w:hideMark/>
          </w:tcPr>
          <w:p w:rsidR="004E63DD" w:rsidRPr="00457103" w:rsidRDefault="004E63DD" w:rsidP="00D57C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457103">
              <w:rPr>
                <w:rFonts w:ascii="Garamond" w:hAnsi="Garamond"/>
                <w:sz w:val="24"/>
                <w:szCs w:val="24"/>
              </w:rPr>
              <w:t>120,31</w:t>
            </w:r>
          </w:p>
        </w:tc>
      </w:tr>
      <w:tr w:rsidR="004E63DD" w:rsidRPr="008805F3" w:rsidTr="00D57CCB">
        <w:trPr>
          <w:trHeight w:val="300"/>
        </w:trPr>
        <w:tc>
          <w:tcPr>
            <w:tcW w:w="2926" w:type="dxa"/>
            <w:noWrap/>
            <w:hideMark/>
          </w:tcPr>
          <w:p w:rsidR="004E63DD" w:rsidRPr="008805F3" w:rsidRDefault="004E63DD" w:rsidP="00D57C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Lakatos műhely III.</w:t>
            </w:r>
          </w:p>
        </w:tc>
        <w:tc>
          <w:tcPr>
            <w:tcW w:w="2928" w:type="dxa"/>
            <w:noWrap/>
            <w:vAlign w:val="center"/>
            <w:hideMark/>
          </w:tcPr>
          <w:p w:rsidR="004E63DD" w:rsidRPr="008805F3" w:rsidRDefault="004E63DD" w:rsidP="00D57C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simított beton</w:t>
            </w:r>
          </w:p>
        </w:tc>
        <w:tc>
          <w:tcPr>
            <w:tcW w:w="2928" w:type="dxa"/>
            <w:noWrap/>
            <w:hideMark/>
          </w:tcPr>
          <w:p w:rsidR="004E63DD" w:rsidRPr="00457103" w:rsidRDefault="004E63DD" w:rsidP="00D57C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457103">
              <w:rPr>
                <w:rFonts w:ascii="Garamond" w:hAnsi="Garamond"/>
                <w:sz w:val="24"/>
                <w:szCs w:val="24"/>
              </w:rPr>
              <w:t>123,66</w:t>
            </w:r>
          </w:p>
        </w:tc>
      </w:tr>
      <w:tr w:rsidR="004E63DD" w:rsidRPr="008805F3" w:rsidTr="00D57CCB">
        <w:trPr>
          <w:trHeight w:val="300"/>
        </w:trPr>
        <w:tc>
          <w:tcPr>
            <w:tcW w:w="2926" w:type="dxa"/>
            <w:noWrap/>
            <w:hideMark/>
          </w:tcPr>
          <w:p w:rsidR="004E63DD" w:rsidRPr="008805F3" w:rsidRDefault="004E63DD" w:rsidP="00D57CC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28" w:type="dxa"/>
            <w:noWrap/>
            <w:vAlign w:val="center"/>
            <w:hideMark/>
          </w:tcPr>
          <w:p w:rsidR="004E63DD" w:rsidRPr="008805F3" w:rsidRDefault="004E63DD" w:rsidP="00D57C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28" w:type="dxa"/>
            <w:noWrap/>
            <w:hideMark/>
          </w:tcPr>
          <w:p w:rsidR="004E63DD" w:rsidRPr="008805F3" w:rsidRDefault="004E63DD" w:rsidP="00D57CC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4E63DD" w:rsidRPr="008805F3" w:rsidTr="00D57CCB">
        <w:tc>
          <w:tcPr>
            <w:tcW w:w="5854" w:type="dxa"/>
            <w:gridSpan w:val="2"/>
            <w:shd w:val="clear" w:color="auto" w:fill="AEAAAA" w:themeFill="background2" w:themeFillShade="BF"/>
          </w:tcPr>
          <w:p w:rsidR="004E63DD" w:rsidRPr="00457103" w:rsidRDefault="004E63DD" w:rsidP="00D57CCB">
            <w:pPr>
              <w:spacing w:after="0" w:line="240" w:lineRule="auto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457103">
              <w:rPr>
                <w:rFonts w:ascii="Garamond" w:hAnsi="Garamond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928" w:type="dxa"/>
            <w:shd w:val="clear" w:color="auto" w:fill="AEAAAA" w:themeFill="background2" w:themeFillShade="BF"/>
            <w:vAlign w:val="center"/>
          </w:tcPr>
          <w:p w:rsidR="004E63DD" w:rsidRPr="00457103" w:rsidRDefault="004E63DD" w:rsidP="00D57CCB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457103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387,30</w:t>
            </w:r>
          </w:p>
        </w:tc>
      </w:tr>
      <w:bookmarkEnd w:id="1"/>
    </w:tbl>
    <w:p w:rsidR="004E63DD" w:rsidRPr="008805F3" w:rsidRDefault="004E63DD" w:rsidP="004E63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E63DD" w:rsidRDefault="004E63DD" w:rsidP="004E63DD">
      <w:pPr>
        <w:pStyle w:val="Standard"/>
        <w:jc w:val="both"/>
        <w:rPr>
          <w:rFonts w:ascii="Garamond" w:hAnsi="Garamond" w:cs="Times New Roman"/>
          <w:shd w:val="clear" w:color="auto" w:fill="FFFFFF"/>
        </w:rPr>
      </w:pPr>
      <w:bookmarkStart w:id="2" w:name="_Hlk46927677"/>
      <w:r w:rsidRPr="008805F3">
        <w:rPr>
          <w:rFonts w:ascii="Garamond" w:hAnsi="Garamond" w:cs="Times New Roman"/>
        </w:rPr>
        <w:t xml:space="preserve">A </w:t>
      </w:r>
      <w:r w:rsidRPr="00457103">
        <w:rPr>
          <w:rFonts w:ascii="Garamond" w:hAnsi="Garamond" w:cs="Times New Roman"/>
          <w:b/>
          <w:bCs/>
        </w:rPr>
        <w:t>Lakatos Műhelyek (I-III</w:t>
      </w:r>
      <w:r>
        <w:rPr>
          <w:rFonts w:ascii="Garamond" w:hAnsi="Garamond" w:cs="Times New Roman"/>
        </w:rPr>
        <w:t xml:space="preserve">) </w:t>
      </w:r>
      <w:r w:rsidRPr="008805F3">
        <w:rPr>
          <w:rFonts w:ascii="Garamond" w:hAnsi="Garamond" w:cs="Times New Roman"/>
        </w:rPr>
        <w:t>bejárata a Derecske, Köztársaság út felől közelíthető meg</w:t>
      </w:r>
      <w:r>
        <w:rPr>
          <w:rFonts w:ascii="Garamond" w:hAnsi="Garamond" w:cs="Times New Roman"/>
        </w:rPr>
        <w:t xml:space="preserve"> az ingatlanon belül kialakított útról.</w:t>
      </w:r>
      <w:r w:rsidRPr="008805F3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 személygépkocsival történő p</w:t>
      </w:r>
      <w:r w:rsidRPr="008805F3">
        <w:rPr>
          <w:rFonts w:ascii="Garamond" w:hAnsi="Garamond" w:cs="Times New Roman"/>
        </w:rPr>
        <w:t>arkolási lehetőséget a</w:t>
      </w:r>
      <w:r>
        <w:rPr>
          <w:rFonts w:ascii="Garamond" w:hAnsi="Garamond" w:cs="Times New Roman"/>
        </w:rPr>
        <w:t xml:space="preserve"> Közösségi tér </w:t>
      </w:r>
      <w:r w:rsidRPr="008805F3">
        <w:rPr>
          <w:rFonts w:ascii="Garamond" w:hAnsi="Garamond" w:cs="Times New Roman"/>
        </w:rPr>
        <w:t>épület</w:t>
      </w:r>
      <w:r>
        <w:rPr>
          <w:rFonts w:ascii="Garamond" w:hAnsi="Garamond" w:cs="Times New Roman"/>
        </w:rPr>
        <w:t>résszel szembeni</w:t>
      </w:r>
      <w:r w:rsidRPr="008805F3">
        <w:rPr>
          <w:rFonts w:ascii="Garamond" w:hAnsi="Garamond" w:cs="Times New Roman"/>
        </w:rPr>
        <w:t xml:space="preserve"> oldalán lévő parkolók biztosítják. A</w:t>
      </w:r>
      <w:r>
        <w:rPr>
          <w:rFonts w:ascii="Garamond" w:hAnsi="Garamond" w:cs="Times New Roman"/>
        </w:rPr>
        <w:t xml:space="preserve"> műhelyek berendezését és egyéb </w:t>
      </w:r>
      <w:r w:rsidRPr="008805F3">
        <w:rPr>
          <w:rFonts w:ascii="Garamond" w:hAnsi="Garamond" w:cs="Times New Roman"/>
        </w:rPr>
        <w:t>feltöltését a gépjárművek számára fenntartott parkolókból</w:t>
      </w:r>
      <w:r>
        <w:rPr>
          <w:rFonts w:ascii="Garamond" w:hAnsi="Garamond" w:cs="Times New Roman"/>
        </w:rPr>
        <w:t xml:space="preserve">, valamint a műhely bejárati oldalainál lévő beton burkolatú beállóból oldható meg. </w:t>
      </w:r>
      <w:r w:rsidRPr="008805F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műhelyek </w:t>
      </w:r>
      <w:r w:rsidRPr="008805F3">
        <w:rPr>
          <w:rFonts w:ascii="Garamond" w:hAnsi="Garamond" w:cs="Times New Roman"/>
        </w:rPr>
        <w:t>víz-, és szennyvízbekötéssel rendelke</w:t>
      </w:r>
      <w:r>
        <w:rPr>
          <w:rFonts w:ascii="Garamond" w:hAnsi="Garamond" w:cs="Times New Roman"/>
        </w:rPr>
        <w:t>znek.</w:t>
      </w:r>
      <w:r w:rsidRPr="008805F3">
        <w:rPr>
          <w:rFonts w:ascii="Garamond" w:hAnsi="Garamond" w:cs="Times New Roman"/>
        </w:rPr>
        <w:t xml:space="preserve"> A helyiség elektromos fogyasztását a</w:t>
      </w:r>
      <w:r>
        <w:rPr>
          <w:rFonts w:ascii="Garamond" w:hAnsi="Garamond" w:cs="Times New Roman"/>
        </w:rPr>
        <w:t xml:space="preserve"> Közösségi tér funkciójú épületben lévő csoportos mérőszekrényben </w:t>
      </w:r>
      <w:r w:rsidRPr="008805F3">
        <w:rPr>
          <w:rFonts w:ascii="Garamond" w:hAnsi="Garamond" w:cs="Times New Roman"/>
        </w:rPr>
        <w:t xml:space="preserve">lévő mérő jelzi. </w:t>
      </w:r>
      <w:r>
        <w:rPr>
          <w:rFonts w:ascii="Garamond" w:hAnsi="Garamond" w:cs="Times New Roman"/>
          <w:shd w:val="clear" w:color="auto" w:fill="FFFFFF"/>
        </w:rPr>
        <w:t>A helyiség központi fűtéssel (lapradiátorok) rendelkezik.</w:t>
      </w:r>
    </w:p>
    <w:p w:rsidR="004E63DD" w:rsidRDefault="004E63DD" w:rsidP="004E63DD">
      <w:pPr>
        <w:pStyle w:val="Standard"/>
        <w:jc w:val="both"/>
        <w:rPr>
          <w:rFonts w:ascii="Garamond" w:hAnsi="Garamond" w:cs="Times New Roman"/>
          <w:shd w:val="clear" w:color="auto" w:fill="FFFFFF"/>
        </w:rPr>
      </w:pPr>
    </w:p>
    <w:p w:rsidR="004E63DD" w:rsidRDefault="004E63DD" w:rsidP="004E63DD">
      <w:pPr>
        <w:pStyle w:val="Standard"/>
        <w:jc w:val="both"/>
        <w:rPr>
          <w:rFonts w:ascii="Garamond" w:hAnsi="Garamond" w:cs="Times New Roman"/>
          <w:shd w:val="clear" w:color="auto" w:fill="FFFFFF"/>
        </w:rPr>
      </w:pPr>
    </w:p>
    <w:p w:rsidR="000C6C26" w:rsidRDefault="000C6C26">
      <w:bookmarkStart w:id="3" w:name="_GoBack"/>
      <w:bookmarkEnd w:id="2"/>
      <w:bookmarkEnd w:id="3"/>
    </w:p>
    <w:sectPr w:rsidR="000C6C26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DD"/>
    <w:rsid w:val="000C6C26"/>
    <w:rsid w:val="004E63DD"/>
    <w:rsid w:val="005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03260"/>
  <w15:chartTrackingRefBased/>
  <w15:docId w15:val="{B2B5F709-E9B2-FA45-87B6-CDD1218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63DD"/>
    <w:pPr>
      <w:suppressAutoHyphens/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qFormat/>
    <w:rsid w:val="004E63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E63DD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E63DD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2021-03-08T13:49:00Z</dcterms:created>
  <dcterms:modified xsi:type="dcterms:W3CDTF">2021-03-08T13:50:00Z</dcterms:modified>
</cp:coreProperties>
</file>