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DCAF" w14:textId="77777777" w:rsidR="0057311D" w:rsidRDefault="0057311D" w:rsidP="0057311D">
      <w:pPr>
        <w:widowControl/>
        <w:numPr>
          <w:ilvl w:val="0"/>
          <w:numId w:val="4"/>
        </w:numPr>
        <w:spacing w:after="160" w:line="256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eastAsia="Tahoma"/>
          <w:b/>
          <w:bCs/>
          <w:lang w:eastAsia="en-US"/>
        </w:rPr>
        <w:t>2. számú melléklet</w:t>
      </w:r>
    </w:p>
    <w:p w14:paraId="5CA5EDF4" w14:textId="77777777" w:rsidR="0057311D" w:rsidRDefault="0057311D" w:rsidP="0057311D">
      <w:pPr>
        <w:keepNext/>
        <w:widowControl/>
        <w:numPr>
          <w:ilvl w:val="2"/>
          <w:numId w:val="4"/>
        </w:numPr>
        <w:tabs>
          <w:tab w:val="left" w:pos="360"/>
        </w:tabs>
        <w:spacing w:after="16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64A69550" w14:textId="77777777" w:rsidR="0057311D" w:rsidRDefault="0057311D" w:rsidP="0057311D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65BAF893" w14:textId="77777777" w:rsidR="0057311D" w:rsidRDefault="0057311D" w:rsidP="0057311D">
      <w:pPr>
        <w:widowControl/>
        <w:spacing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ar-SA"/>
        </w:rPr>
        <w:t xml:space="preserve">Alulírott ………………………………………………..………………………………. (név/cég neve:) (születési helye, ideje: …………………………………………………………………., anyja neve: ………………………………..……………………………………………………, lakcíme/székhelye:  ………………………….………………………………….) </w:t>
      </w:r>
      <w:r>
        <w:rPr>
          <w:rFonts w:eastAsia="Times New Roman"/>
          <w:color w:val="000000"/>
          <w:lang w:eastAsia="ar-SA"/>
        </w:rPr>
        <w:t xml:space="preserve">kinyilatkozom, hogy a </w:t>
      </w:r>
      <w:r>
        <w:rPr>
          <w:rFonts w:eastAsia="Times New Roman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50DF096D" w14:textId="77777777" w:rsidR="0057311D" w:rsidRDefault="0057311D" w:rsidP="0057311D">
      <w:pPr>
        <w:widowControl/>
        <w:numPr>
          <w:ilvl w:val="0"/>
          <w:numId w:val="5"/>
        </w:num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17797544" w14:textId="77777777" w:rsidR="0057311D" w:rsidRDefault="0057311D" w:rsidP="0057311D">
      <w:pPr>
        <w:widowControl/>
        <w:numPr>
          <w:ilvl w:val="0"/>
          <w:numId w:val="5"/>
        </w:num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29945CF0" w14:textId="77777777" w:rsidR="0057311D" w:rsidRDefault="0057311D" w:rsidP="0057311D">
      <w:pPr>
        <w:widowControl/>
        <w:numPr>
          <w:ilvl w:val="0"/>
          <w:numId w:val="5"/>
        </w:num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pályázat benyújtására nyitva álló határidőt követő 45 napig az ajánlati kötöttséget vállalom,</w:t>
      </w:r>
    </w:p>
    <w:p w14:paraId="3BBE359C" w14:textId="77777777" w:rsidR="0057311D" w:rsidRDefault="0057311D" w:rsidP="0057311D">
      <w:pPr>
        <w:numPr>
          <w:ilvl w:val="1"/>
          <w:numId w:val="6"/>
        </w:numPr>
        <w:tabs>
          <w:tab w:val="left" w:pos="720"/>
        </w:tabs>
        <w:jc w:val="both"/>
      </w:pPr>
      <w:r>
        <w:rPr>
          <w:rFonts w:eastAsia="Times New Roman"/>
          <w:color w:val="000000"/>
        </w:rPr>
        <w:t xml:space="preserve">az ingatlant megtekintettem, annak állapotát megismertem, és </w:t>
      </w:r>
      <w:proofErr w:type="spellStart"/>
      <w:r>
        <w:rPr>
          <w:rFonts w:eastAsia="Times New Roman"/>
          <w:color w:val="000000"/>
        </w:rPr>
        <w:t>ajánlatomat</w:t>
      </w:r>
      <w:proofErr w:type="spellEnd"/>
      <w:r>
        <w:rPr>
          <w:rFonts w:eastAsia="Times New Roman"/>
          <w:color w:val="000000"/>
        </w:rPr>
        <w:t xml:space="preserve"> az ingatlan megtekintését követően tettem meg,</w:t>
      </w:r>
    </w:p>
    <w:p w14:paraId="0B1B7406" w14:textId="77777777" w:rsidR="0057311D" w:rsidRDefault="0057311D" w:rsidP="0057311D">
      <w:pPr>
        <w:numPr>
          <w:ilvl w:val="0"/>
          <w:numId w:val="5"/>
        </w:numPr>
        <w:jc w:val="both"/>
      </w:pPr>
      <w:r>
        <w:rPr>
          <w:rFonts w:eastAsia="Times New Roman"/>
          <w:lang w:eastAsia="hu-HU"/>
        </w:rPr>
        <w:t>jogi személy esetében</w:t>
      </w:r>
      <w:r>
        <w:t xml:space="preserve"> a nemzeti vagyonról szóló 2011. évi CXCVI. törvény 3. § (1) bekezdésének 1. pontja szerinti átlátható szervezetnek minősül, amely minőségét a szerződés teljes időtartama alatt fenntartja,</w:t>
      </w:r>
    </w:p>
    <w:p w14:paraId="373EAF32" w14:textId="77777777" w:rsidR="0057311D" w:rsidRDefault="0057311D" w:rsidP="0057311D">
      <w:pPr>
        <w:numPr>
          <w:ilvl w:val="0"/>
          <w:numId w:val="5"/>
        </w:numPr>
        <w:jc w:val="both"/>
      </w:pPr>
      <w:r>
        <w:t>a mező- és erdőgazdasági földek forgalmáról szóló 2013. évi CXXII. törvény (Földforgalmi törvény) figyelembe vétele mellett az alábbiak szerint nyilatkozom:</w:t>
      </w:r>
    </w:p>
    <w:p w14:paraId="7AD3E0A9" w14:textId="77777777" w:rsidR="0057311D" w:rsidRDefault="0057311D" w:rsidP="0057311D">
      <w:pPr>
        <w:ind w:left="1080"/>
        <w:jc w:val="both"/>
      </w:pPr>
    </w:p>
    <w:p w14:paraId="2D5EA8E2" w14:textId="77777777" w:rsidR="0057311D" w:rsidRDefault="0057311D" w:rsidP="0057311D">
      <w:pPr>
        <w:ind w:left="1080"/>
        <w:jc w:val="both"/>
      </w:pPr>
      <w:r>
        <w:t>(A megfelelő szövegrészt aláhúzással kell jelölni!)</w:t>
      </w:r>
    </w:p>
    <w:p w14:paraId="2381B8C0" w14:textId="77777777" w:rsidR="0057311D" w:rsidRDefault="0057311D" w:rsidP="0057311D">
      <w:pPr>
        <w:ind w:left="1080"/>
        <w:jc w:val="both"/>
      </w:pPr>
    </w:p>
    <w:p w14:paraId="42995EA3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46. § (1) Az erdőnek nem minősülő föld haszonbérbe adása esetén az alábbi sorrendben előhaszonbérleti jog illeti meg:</w:t>
      </w:r>
    </w:p>
    <w:p w14:paraId="10D07899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a) a volt haszonbérlő olyan földművest, illetve mezőgazdasági termelőszervezetet, aki helyben lakónak minősül, illetve amely helybeli illetőségűnek minősül, vagy akinek a lakóhelye, illetve akinek, vagy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28AF2FD8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b) az olyan földművest, aki helyben lakó szomszédnak minősül;</w:t>
      </w:r>
    </w:p>
    <w:p w14:paraId="63CB3607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c) az olyan földművest, aki helyben lakónak minősül;</w:t>
      </w:r>
    </w:p>
    <w:p w14:paraId="05E48C1A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d) az olyan földművest, akinek a lakóhelye vagy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van;</w:t>
      </w:r>
    </w:p>
    <w:p w14:paraId="2BDF87F4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e) az olyan mezőgazdasági termelőszervezetet, amely helybeli illetőségű szomszédnak minősül;</w:t>
      </w:r>
    </w:p>
    <w:p w14:paraId="396F728F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f) az olyan mezőgazdasági termelőszervezetet, amely helybeli illetőségűnek minősül;</w:t>
      </w:r>
    </w:p>
    <w:p w14:paraId="038AA667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g) az olyan mezőgazdasági termelőszervezetet, amelynek a mezőgazdasági üzemközpontja legalább 3 éve azon a településen van, amelynek közigazgatási határa a haszonbérlet tárgyát képező föld fekvése szerinti település közigazgatási határától közúton vagy közforgalom elől el nem zárt magánúton legfeljebb 20 km távolságra van.</w:t>
      </w:r>
    </w:p>
    <w:p w14:paraId="791E77B6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(3) Az (1) bekezdés a) pontjával megegyező ranghelyen illeti meg előhaszonbérleti jog</w:t>
      </w:r>
    </w:p>
    <w:p w14:paraId="20E36719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a) a föld fekvése szerinti településen az előhaszonbérleti joga gyakorlását megelőzően legalább 3 éve állattartó telepet üzemeltető azon helyben lakó földművest vagy helybeli illetőségű </w:t>
      </w:r>
      <w:r>
        <w:rPr>
          <w:rFonts w:eastAsia="Times New Roman"/>
          <w:lang w:eastAsia="hu-HU"/>
        </w:rPr>
        <w:lastRenderedPageBreak/>
        <w:t>mezőgazdasági termelőszervezetet, aki, illetve amely haszonbérletének a célja az állattartáshoz szükséges és azzal arányban álló takarmányszükséglet biztosítása és rendelkezik az e törvény végrehajtására kiadott rendeletben meghatározott állatsűrűséggel</w:t>
      </w:r>
    </w:p>
    <w:p w14:paraId="4EF6E5CD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proofErr w:type="spellStart"/>
      <w:r>
        <w:rPr>
          <w:rFonts w:eastAsia="Times New Roman"/>
          <w:lang w:eastAsia="hu-HU"/>
        </w:rPr>
        <w:t>aa</w:t>
      </w:r>
      <w:proofErr w:type="spellEnd"/>
      <w:r>
        <w:rPr>
          <w:rFonts w:eastAsia="Times New Roman"/>
          <w:lang w:eastAsia="hu-HU"/>
        </w:rPr>
        <w:t>) rét, legelő (gyep), vagy fásított terület művelési ágban nyilvántartott föld haszonbérbe adása esetén szarvasmarhafélék, ló, szamár, öszvér, juh, kecske vagy méh állatfajok vonatkozásában,</w:t>
      </w:r>
    </w:p>
    <w:p w14:paraId="70DABA64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ab)</w:t>
      </w:r>
      <w:hyperlink r:id="rId5" w:anchor="lbj99id384" w:history="1">
        <w:r>
          <w:rPr>
            <w:rStyle w:val="Hiperhivatkozs"/>
            <w:rFonts w:eastAsia="Times New Roman"/>
            <w:b/>
            <w:bCs/>
            <w:vertAlign w:val="superscript"/>
            <w:lang w:eastAsia="hu-HU"/>
          </w:rPr>
          <w:t> * </w:t>
        </w:r>
      </w:hyperlink>
      <w:r>
        <w:rPr>
          <w:rFonts w:eastAsia="Times New Roman"/>
          <w:lang w:eastAsia="hu-HU"/>
        </w:rPr>
        <w:t> szántó művelési ágban nyilvántartott föld haszonbérbe adása esetén az </w:t>
      </w:r>
      <w:proofErr w:type="spellStart"/>
      <w:r>
        <w:rPr>
          <w:rFonts w:eastAsia="Times New Roman"/>
          <w:lang w:eastAsia="hu-HU"/>
        </w:rPr>
        <w:t>aa</w:t>
      </w:r>
      <w:proofErr w:type="spellEnd"/>
      <w:r>
        <w:rPr>
          <w:rFonts w:eastAsia="Times New Roman"/>
          <w:lang w:eastAsia="hu-HU"/>
        </w:rPr>
        <w:t>) alpontban fel nem sorolt állatfajok, valamint szarvasmarha vonatkozásában, továbbá engedély vagy bejelentés alapján nyilvántartásba vett takarmány-vállalkozásnak minősül;</w:t>
      </w:r>
    </w:p>
    <w:p w14:paraId="122D9521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b) a szántó, kert, szőlő, gyümölcsös művelési ágban nyilvántartott föld haszonbérbe adása esetén azt a helyben lakó földművest, vagy helybeli illetőségű mezőgazdasági termelőszervezetet, aki vagy amely számára a haszonbérlet célja földrajzi árujelzéssel, továbbá eredetmegjelöléssel ellátott termék előállítása és feldolgozása, vagy ökológiai gazdálkodás folytatása;</w:t>
      </w:r>
    </w:p>
    <w:p w14:paraId="79BEBDC5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c) kert, szőlő, gyümölcsös művelési ágban nyilvántartott föld haszonbérbe adása esetén azt a helyben lakó földművest, vagy helybeli illetőségű mezőgazdasági termelőszervezetet, aki vagy amely számára a haszonbérlet célja kertészeti tevékenység folytatásához szükséges terület biztosítása;</w:t>
      </w:r>
    </w:p>
    <w:p w14:paraId="258323E8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d) szántó művelési ágban nyilvántartott föld haszonbérbe adása esetén azt a helyben lakó földművest, vagy helybeli illetőségű mezőgazdasági termelőszervezetet, aki vagy amely számára a haszonbérlet célja szaporítóanyag-előállításhoz szükséges terület biztosítása;</w:t>
      </w:r>
    </w:p>
    <w:p w14:paraId="33054024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e)</w:t>
      </w:r>
      <w:hyperlink r:id="rId6" w:anchor="lbj100id384" w:history="1">
        <w:r>
          <w:rPr>
            <w:rStyle w:val="Hiperhivatkozs"/>
            <w:rFonts w:eastAsia="Times New Roman"/>
            <w:b/>
            <w:bCs/>
            <w:vertAlign w:val="superscript"/>
            <w:lang w:eastAsia="hu-HU"/>
          </w:rPr>
          <w:t> * </w:t>
        </w:r>
      </w:hyperlink>
      <w:r>
        <w:rPr>
          <w:rFonts w:eastAsia="Times New Roman"/>
          <w:lang w:eastAsia="hu-HU"/>
        </w:rPr>
        <w:t> szántó, szőlő, gyümölcsös, kert művelési ágban nyilvántartott föld haszonbérbe adása esetén a föld területe legalább fele részének öntözhetőségét biztosító és a földdel alkotórész kapcsolatba kerülő öntözésfejlesztési beruházást végrehajtó földművest vagy mezőgazdasági termelőszervezetet, ha a haszonbérleti szerződés időtartamának legalább fele részében a végrehajtott öntözésfejlesztési beruházás a számvitelről szóló törvény rendelkezései szerint még értékkel bír.</w:t>
      </w:r>
    </w:p>
    <w:p w14:paraId="6B7A7C24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(4)</w:t>
      </w:r>
      <w:hyperlink r:id="rId7" w:anchor="lbj101id384" w:history="1">
        <w:r>
          <w:rPr>
            <w:rStyle w:val="Hiperhivatkozs"/>
            <w:rFonts w:eastAsia="Times New Roman"/>
            <w:b/>
            <w:bCs/>
            <w:vertAlign w:val="superscript"/>
            <w:lang w:eastAsia="hu-HU"/>
          </w:rPr>
          <w:t> * </w:t>
        </w:r>
      </w:hyperlink>
      <w:r>
        <w:rPr>
          <w:rFonts w:eastAsia="Times New Roman"/>
          <w:lang w:eastAsia="hu-HU"/>
        </w:rPr>
        <w:t> Az (1) bekezdés b)-d) pontjában, valamint a (2)-(3) bekezdésben meghatározott földműves jogosulti csoportokon belül az előhaszonbérletre jogosultak sorrendje a következő:</w:t>
      </w:r>
    </w:p>
    <w:p w14:paraId="54F973D4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a) családi mezőgazdasági társaság tagja vagy őstermelők családi gazdaságának tagja,</w:t>
      </w:r>
    </w:p>
    <w:p w14:paraId="00DD6483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b) fiatal földműves,</w:t>
      </w:r>
    </w:p>
    <w:p w14:paraId="4865968F" w14:textId="77777777" w:rsidR="0057311D" w:rsidRDefault="0057311D" w:rsidP="0057311D">
      <w:pPr>
        <w:widowControl/>
        <w:shd w:val="clear" w:color="auto" w:fill="FFFFFF"/>
        <w:suppressAutoHyphens w:val="0"/>
        <w:ind w:left="284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c) pályakezdő gazdálkodó.</w:t>
      </w:r>
    </w:p>
    <w:p w14:paraId="7C4DC2CA" w14:textId="77777777" w:rsidR="0057311D" w:rsidRDefault="0057311D" w:rsidP="0057311D">
      <w:pPr>
        <w:widowControl/>
        <w:rPr>
          <w:rFonts w:eastAsia="Calibri"/>
          <w:sz w:val="22"/>
          <w:szCs w:val="22"/>
          <w:lang w:eastAsia="ar-SA"/>
        </w:rPr>
      </w:pPr>
    </w:p>
    <w:p w14:paraId="4E36B8B1" w14:textId="77777777" w:rsidR="0057311D" w:rsidRDefault="0057311D" w:rsidP="0057311D">
      <w:pPr>
        <w:widowControl/>
        <w:rPr>
          <w:rFonts w:eastAsia="Calibri"/>
          <w:sz w:val="22"/>
          <w:szCs w:val="22"/>
          <w:lang w:eastAsia="ar-SA"/>
        </w:rPr>
      </w:pPr>
    </w:p>
    <w:p w14:paraId="24583B24" w14:textId="77777777" w:rsidR="0057311D" w:rsidRDefault="0057311D" w:rsidP="0057311D">
      <w:pPr>
        <w:widowControl/>
        <w:rPr>
          <w:rFonts w:eastAsia="Calibri"/>
          <w:sz w:val="22"/>
          <w:szCs w:val="22"/>
          <w:lang w:eastAsia="ar-SA"/>
        </w:rPr>
      </w:pPr>
    </w:p>
    <w:p w14:paraId="67E18993" w14:textId="77777777" w:rsidR="0057311D" w:rsidRDefault="0057311D" w:rsidP="0057311D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 xml:space="preserve">Kelt: ………………………………………….. </w:t>
      </w:r>
    </w:p>
    <w:p w14:paraId="5267C0C4" w14:textId="77777777" w:rsidR="0057311D" w:rsidRDefault="0057311D" w:rsidP="0057311D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715AFC69" w14:textId="77777777" w:rsidR="0057311D" w:rsidRDefault="0057311D" w:rsidP="0057311D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4A9246D9" w14:textId="77777777" w:rsidR="0057311D" w:rsidRDefault="0057311D" w:rsidP="0057311D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  <w:t xml:space="preserve">                                         aláírás</w:t>
      </w:r>
    </w:p>
    <w:p w14:paraId="68B4D2AA" w14:textId="77777777" w:rsidR="0057311D" w:rsidRDefault="0057311D" w:rsidP="0057311D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7C02A9CF" w14:textId="77777777" w:rsidR="0057311D" w:rsidRDefault="0057311D" w:rsidP="0057311D"/>
    <w:p w14:paraId="0D39532D" w14:textId="77777777" w:rsidR="0057311D" w:rsidRDefault="0057311D" w:rsidP="0057311D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102605F9" w14:textId="77777777" w:rsidR="00384C72" w:rsidRPr="0057311D" w:rsidRDefault="00384C72" w:rsidP="0057311D"/>
    <w:sectPr w:rsidR="00384C72" w:rsidRPr="005731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18"/>
    <w:rsid w:val="000E3018"/>
    <w:rsid w:val="00384C72"/>
    <w:rsid w:val="0057311D"/>
    <w:rsid w:val="00577B2C"/>
    <w:rsid w:val="009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766"/>
  <w15:chartTrackingRefBased/>
  <w15:docId w15:val="{A5117578-2326-47ED-95D3-2DC04F5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30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7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122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300122.tv" TargetMode="External"/><Relationship Id="rId5" Type="http://schemas.openxmlformats.org/officeDocument/2006/relationships/hyperlink" Target="https://net.jogtar.hu/jogszabaly?docid=a1300122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2021-10-29T09:19:00Z</dcterms:created>
  <dcterms:modified xsi:type="dcterms:W3CDTF">2021-10-29T09:19:00Z</dcterms:modified>
</cp:coreProperties>
</file>