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642" w:rsidRPr="008C3642" w:rsidRDefault="008C3642" w:rsidP="008C3642">
      <w:pPr>
        <w:spacing w:before="120" w:line="240" w:lineRule="auto"/>
        <w:rPr>
          <w:rFonts w:ascii="Arial" w:hAnsi="Arial" w:cs="Arial"/>
          <w:b/>
          <w:color w:val="404040" w:themeColor="text1" w:themeTint="BF"/>
          <w:sz w:val="20"/>
          <w:szCs w:val="20"/>
        </w:rPr>
      </w:pPr>
      <w:r w:rsidRPr="008C3642">
        <w:rPr>
          <w:rFonts w:ascii="Arial" w:hAnsi="Arial" w:cs="Arial"/>
          <w:b/>
          <w:color w:val="244BAE"/>
          <w:sz w:val="60"/>
          <w:szCs w:val="60"/>
        </w:rPr>
        <w:t>JOGSZABÁLYI KERETEK ÖSSZEFOGLALÁSA</w:t>
      </w:r>
      <w:r w:rsidR="00DD4376">
        <w:rPr>
          <w:rFonts w:ascii="Arial" w:hAnsi="Arial" w:cs="Arial"/>
          <w:b/>
          <w:color w:val="244BAE"/>
          <w:sz w:val="60"/>
          <w:szCs w:val="60"/>
        </w:rPr>
        <w:br/>
      </w:r>
    </w:p>
    <w:p w:rsidR="008C3642" w:rsidRPr="008C3642" w:rsidRDefault="008C3642" w:rsidP="008C3642">
      <w:pPr>
        <w:autoSpaceDE w:val="0"/>
        <w:autoSpaceDN w:val="0"/>
        <w:adjustRightInd w:val="0"/>
        <w:spacing w:before="120" w:line="240" w:lineRule="auto"/>
        <w:jc w:val="both"/>
        <w:rPr>
          <w:rFonts w:ascii="Arial" w:hAnsi="Arial" w:cs="Arial"/>
          <w:b/>
          <w:color w:val="404040" w:themeColor="text1" w:themeTint="BF"/>
          <w:sz w:val="24"/>
          <w:szCs w:val="20"/>
        </w:rPr>
      </w:pPr>
      <w:r w:rsidRPr="008C3642">
        <w:rPr>
          <w:rFonts w:ascii="Arial" w:hAnsi="Arial" w:cs="Arial"/>
          <w:b/>
          <w:color w:val="404040" w:themeColor="text1" w:themeTint="BF"/>
          <w:sz w:val="24"/>
          <w:szCs w:val="20"/>
        </w:rPr>
        <w:t xml:space="preserve">A DERECSKEI JÁRÁS </w:t>
      </w:r>
    </w:p>
    <w:p w:rsidR="008C3642" w:rsidRPr="008C3642" w:rsidRDefault="008C3642" w:rsidP="008C3642">
      <w:pPr>
        <w:autoSpaceDE w:val="0"/>
        <w:autoSpaceDN w:val="0"/>
        <w:adjustRightInd w:val="0"/>
        <w:spacing w:before="120" w:line="240" w:lineRule="auto"/>
        <w:rPr>
          <w:rFonts w:ascii="Arial" w:hAnsi="Arial" w:cs="Arial"/>
          <w:b/>
          <w:color w:val="404040" w:themeColor="text1" w:themeTint="BF"/>
          <w:sz w:val="24"/>
          <w:szCs w:val="20"/>
        </w:rPr>
      </w:pPr>
      <w:r w:rsidRPr="008C3642">
        <w:rPr>
          <w:rFonts w:ascii="Arial" w:hAnsi="Arial" w:cs="Arial"/>
          <w:b/>
          <w:color w:val="404040" w:themeColor="text1" w:themeTint="BF"/>
          <w:sz w:val="24"/>
          <w:szCs w:val="20"/>
        </w:rPr>
        <w:t>HELYI ESÉLYTEREMTŐ PRO</w:t>
      </w:r>
      <w:bookmarkStart w:id="0" w:name="_GoBack"/>
      <w:bookmarkEnd w:id="0"/>
      <w:r w:rsidRPr="008C3642">
        <w:rPr>
          <w:rFonts w:ascii="Arial" w:hAnsi="Arial" w:cs="Arial"/>
          <w:b/>
          <w:color w:val="404040" w:themeColor="text1" w:themeTint="BF"/>
          <w:sz w:val="24"/>
          <w:szCs w:val="20"/>
        </w:rPr>
        <w:t>GRAMTERVEINEK HÁTTÉRTÁMOGATÁSÁHOZ</w:t>
      </w:r>
      <w:r w:rsidRPr="008C3642">
        <w:rPr>
          <w:rFonts w:ascii="Arial" w:hAnsi="Arial" w:cs="Arial"/>
          <w:b/>
          <w:color w:val="404040" w:themeColor="text1" w:themeTint="BF"/>
          <w:sz w:val="24"/>
          <w:szCs w:val="20"/>
        </w:rPr>
        <w:br/>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A „Járási esélyegyenlőségi program a Derecskei járásban” elnevezésű, ÁROP-1</w:t>
      </w:r>
      <w:proofErr w:type="gramStart"/>
      <w:r w:rsidRPr="008C3642">
        <w:rPr>
          <w:rFonts w:ascii="Arial" w:hAnsi="Arial" w:cs="Arial"/>
          <w:color w:val="404040" w:themeColor="text1" w:themeTint="BF"/>
          <w:sz w:val="20"/>
          <w:szCs w:val="20"/>
        </w:rPr>
        <w:t>.A</w:t>
      </w:r>
      <w:proofErr w:type="gramEnd"/>
      <w:r w:rsidRPr="008C3642">
        <w:rPr>
          <w:rFonts w:ascii="Arial" w:hAnsi="Arial" w:cs="Arial"/>
          <w:color w:val="404040" w:themeColor="text1" w:themeTint="BF"/>
          <w:sz w:val="20"/>
          <w:szCs w:val="20"/>
        </w:rPr>
        <w:t>.3-2014-2014-0064 azonosítószámú pályázat keretében Derecske Város Önkormányzata 2 különböző esélyteremtő programtervet készített. Az egyik a női célcsoport a másik a pályakezdő fiatalok célcsoportja vonatkozásában tervezi meg az érintettek esélyegyenlőségi helyzetének javítását. Az alábbiakban az esélyteremtő programtervek 2 célcsoportjához, a programtervekben tervezett programokhoz, szolgáltatásokhoz kapcsolódó hazai és nemzetközi jogszabályi kereteket foglaljuk össze.</w:t>
      </w:r>
    </w:p>
    <w:p w:rsidR="008C3642" w:rsidRPr="008C3642" w:rsidRDefault="008C3642" w:rsidP="008C3642">
      <w:pPr>
        <w:autoSpaceDE w:val="0"/>
        <w:autoSpaceDN w:val="0"/>
        <w:adjustRightInd w:val="0"/>
        <w:jc w:val="both"/>
        <w:rPr>
          <w:rFonts w:ascii="Arial" w:hAnsi="Arial" w:cs="Arial"/>
          <w:b/>
          <w:color w:val="404040" w:themeColor="text1" w:themeTint="BF"/>
          <w:sz w:val="20"/>
          <w:szCs w:val="20"/>
        </w:rPr>
      </w:pPr>
    </w:p>
    <w:p w:rsidR="008C3642" w:rsidRPr="008C3642" w:rsidRDefault="008C3642" w:rsidP="008C3642">
      <w:pPr>
        <w:autoSpaceDE w:val="0"/>
        <w:autoSpaceDN w:val="0"/>
        <w:adjustRightInd w:val="0"/>
        <w:jc w:val="both"/>
        <w:rPr>
          <w:rFonts w:ascii="Arial" w:hAnsi="Arial" w:cs="Arial"/>
          <w:b/>
          <w:color w:val="404040" w:themeColor="text1" w:themeTint="BF"/>
          <w:sz w:val="20"/>
          <w:szCs w:val="20"/>
        </w:rPr>
      </w:pPr>
      <w:r w:rsidRPr="008C3642">
        <w:rPr>
          <w:rFonts w:ascii="Arial" w:hAnsi="Arial" w:cs="Arial"/>
          <w:b/>
          <w:color w:val="404040" w:themeColor="text1" w:themeTint="BF"/>
          <w:sz w:val="20"/>
          <w:szCs w:val="20"/>
        </w:rPr>
        <w:t>Alapvető fogalmak</w:t>
      </w:r>
    </w:p>
    <w:p w:rsidR="008C3642" w:rsidRPr="008C3642" w:rsidRDefault="008C3642" w:rsidP="008C3642">
      <w:pPr>
        <w:autoSpaceDE w:val="0"/>
        <w:autoSpaceDN w:val="0"/>
        <w:adjustRightInd w:val="0"/>
        <w:jc w:val="both"/>
        <w:rPr>
          <w:rFonts w:ascii="Arial" w:hAnsi="Arial" w:cs="Arial"/>
          <w:b/>
          <w:color w:val="404040" w:themeColor="text1" w:themeTint="BF"/>
          <w:sz w:val="20"/>
          <w:szCs w:val="20"/>
        </w:rPr>
      </w:pP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b/>
          <w:color w:val="404040" w:themeColor="text1" w:themeTint="BF"/>
          <w:sz w:val="20"/>
          <w:szCs w:val="20"/>
        </w:rPr>
        <w:t>Közvetlen hátrányos megkülönböztetés:</w:t>
      </w:r>
      <w:r w:rsidRPr="008C3642">
        <w:rPr>
          <w:rFonts w:ascii="Arial" w:hAnsi="Arial" w:cs="Arial"/>
          <w:color w:val="404040" w:themeColor="text1" w:themeTint="BF"/>
          <w:sz w:val="20"/>
          <w:szCs w:val="20"/>
        </w:rPr>
        <w:t xml:space="preserve"> az olyan rendelkezés, amelynek eredményeként egy személy, vagy csoport valós, vagy vélt tulajdonsága miatt részesül más, összehasonlítható helyzetben levő személyhez vagy csoporthoz képest kedvezőtlenebb bánásmódban.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b/>
          <w:color w:val="404040" w:themeColor="text1" w:themeTint="BF"/>
          <w:sz w:val="20"/>
          <w:szCs w:val="20"/>
        </w:rPr>
        <w:t>Közvetett hátrányos megkülönböztetés:</w:t>
      </w:r>
      <w:r w:rsidRPr="008C3642">
        <w:rPr>
          <w:rFonts w:ascii="Arial" w:hAnsi="Arial" w:cs="Arial"/>
          <w:color w:val="404040" w:themeColor="text1" w:themeTint="BF"/>
          <w:sz w:val="20"/>
          <w:szCs w:val="20"/>
        </w:rPr>
        <w:t xml:space="preserve"> az a közvetlen hátrányos megkülönböztetésnek nem minősülő, látszólag az egyenlő bánásmód követelményének megfelelő rendelkezés, amely a fenti meghatározott tulajdonságokkal rendelkező egyes személyeket, vagy csoportokat más, összehasonlítható helyzetben lévő személyhez vagy csoporthoz képest lényegesen nagyobb arányban hátrányosabb helyzetbe hoz.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b/>
          <w:color w:val="404040" w:themeColor="text1" w:themeTint="BF"/>
          <w:sz w:val="20"/>
          <w:szCs w:val="20"/>
        </w:rPr>
        <w:t>Jogellenes elkülönítés:</w:t>
      </w:r>
      <w:r w:rsidRPr="008C3642">
        <w:rPr>
          <w:rFonts w:ascii="Arial" w:hAnsi="Arial" w:cs="Arial"/>
          <w:color w:val="404040" w:themeColor="text1" w:themeTint="BF"/>
          <w:sz w:val="20"/>
          <w:szCs w:val="20"/>
        </w:rPr>
        <w:t xml:space="preserve"> az a magatartás, amely jogszabályban meghatározott tulajdonságai alapján egyes személyeket vagy személyek csoportját másoktól - tárgyilagos mérlegelés szerinti ésszerű indok nélkül - elkülönít. Szegregáció: a társadalmi kirekesztéssel és/vagy a társadalmi asszimilációval szembeni védekezésként megvalósuló önkéntes elkülönülés.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b/>
          <w:color w:val="404040" w:themeColor="text1" w:themeTint="BF"/>
          <w:sz w:val="20"/>
          <w:szCs w:val="20"/>
        </w:rPr>
        <w:t xml:space="preserve">Integráció: </w:t>
      </w:r>
      <w:r w:rsidRPr="008C3642">
        <w:rPr>
          <w:rFonts w:ascii="Arial" w:hAnsi="Arial" w:cs="Arial"/>
          <w:color w:val="404040" w:themeColor="text1" w:themeTint="BF"/>
          <w:sz w:val="20"/>
          <w:szCs w:val="20"/>
        </w:rPr>
        <w:t>a társadalom különböző csoportjainak közös térben megvalósuló sikeres együttélése, illetve az együttélés feltételeként megteremtése.</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p>
    <w:p w:rsidR="008C3642" w:rsidRDefault="008C3642">
      <w:pPr>
        <w:rPr>
          <w:rFonts w:ascii="Arial" w:hAnsi="Arial" w:cs="Arial"/>
          <w:b/>
          <w:color w:val="404040" w:themeColor="text1" w:themeTint="BF"/>
          <w:sz w:val="20"/>
          <w:szCs w:val="20"/>
        </w:rPr>
      </w:pPr>
      <w:r>
        <w:rPr>
          <w:rFonts w:ascii="Arial" w:hAnsi="Arial" w:cs="Arial"/>
          <w:b/>
          <w:color w:val="404040" w:themeColor="text1" w:themeTint="BF"/>
          <w:sz w:val="20"/>
          <w:szCs w:val="20"/>
        </w:rPr>
        <w:br w:type="page"/>
      </w:r>
    </w:p>
    <w:p w:rsidR="008C3642" w:rsidRPr="008C3642" w:rsidRDefault="008C3642" w:rsidP="008C3642">
      <w:pPr>
        <w:autoSpaceDE w:val="0"/>
        <w:autoSpaceDN w:val="0"/>
        <w:adjustRightInd w:val="0"/>
        <w:jc w:val="both"/>
        <w:rPr>
          <w:rFonts w:ascii="Arial" w:hAnsi="Arial" w:cs="Arial"/>
          <w:b/>
          <w:color w:val="404040" w:themeColor="text1" w:themeTint="BF"/>
          <w:sz w:val="20"/>
          <w:szCs w:val="20"/>
        </w:rPr>
      </w:pPr>
      <w:r w:rsidRPr="008C3642">
        <w:rPr>
          <w:rFonts w:ascii="Arial" w:hAnsi="Arial" w:cs="Arial"/>
          <w:b/>
          <w:color w:val="404040" w:themeColor="text1" w:themeTint="BF"/>
          <w:sz w:val="20"/>
          <w:szCs w:val="20"/>
        </w:rPr>
        <w:lastRenderedPageBreak/>
        <w:t>Fontosabb, releváns jogszabályok felsorolása</w:t>
      </w:r>
    </w:p>
    <w:p w:rsidR="008C3642" w:rsidRPr="008C3642" w:rsidRDefault="008C3642" w:rsidP="008C3642">
      <w:pPr>
        <w:autoSpaceDE w:val="0"/>
        <w:autoSpaceDN w:val="0"/>
        <w:adjustRightInd w:val="0"/>
        <w:jc w:val="both"/>
        <w:rPr>
          <w:rFonts w:ascii="Arial" w:hAnsi="Arial" w:cs="Arial"/>
          <w:b/>
          <w:bCs/>
          <w:color w:val="404040" w:themeColor="text1" w:themeTint="BF"/>
          <w:sz w:val="20"/>
          <w:szCs w:val="20"/>
        </w:rPr>
      </w:pPr>
      <w:r w:rsidRPr="008C3642">
        <w:rPr>
          <w:rFonts w:ascii="Arial" w:hAnsi="Arial" w:cs="Arial"/>
          <w:b/>
          <w:color w:val="404040" w:themeColor="text1" w:themeTint="BF"/>
          <w:sz w:val="20"/>
          <w:szCs w:val="20"/>
        </w:rPr>
        <w:t xml:space="preserve">Az egyenlő bánásmódról és az esélyegyenlőség előmozdításáról szóló </w:t>
      </w:r>
      <w:r w:rsidRPr="008C3642">
        <w:rPr>
          <w:rFonts w:ascii="Arial" w:hAnsi="Arial" w:cs="Arial"/>
          <w:b/>
          <w:bCs/>
          <w:color w:val="404040" w:themeColor="text1" w:themeTint="BF"/>
          <w:sz w:val="20"/>
          <w:szCs w:val="20"/>
        </w:rPr>
        <w:t>2003. évi CXXV. törvény</w:t>
      </w:r>
    </w:p>
    <w:p w:rsidR="008C3642" w:rsidRPr="008C3642" w:rsidRDefault="008C3642" w:rsidP="008C3642">
      <w:pPr>
        <w:autoSpaceDE w:val="0"/>
        <w:autoSpaceDN w:val="0"/>
        <w:adjustRightInd w:val="0"/>
        <w:jc w:val="both"/>
        <w:rPr>
          <w:rFonts w:ascii="Arial" w:hAnsi="Arial" w:cs="Arial"/>
          <w:bCs/>
          <w:color w:val="404040" w:themeColor="text1" w:themeTint="BF"/>
          <w:sz w:val="20"/>
          <w:szCs w:val="20"/>
        </w:rPr>
      </w:pPr>
      <w:r w:rsidRPr="008C3642">
        <w:rPr>
          <w:rFonts w:ascii="Arial" w:hAnsi="Arial" w:cs="Arial"/>
          <w:bCs/>
          <w:color w:val="404040" w:themeColor="text1" w:themeTint="BF"/>
          <w:sz w:val="20"/>
          <w:szCs w:val="20"/>
        </w:rPr>
        <w:t>Fenti törvény szabályai biztosítják minden ember jogát ahhoz, hogy egyenlő méltóságú személyként élhessen. Célja, hogy hatékony jogvédelmet biztosítson a hátrányos megkülönböztetést elszenvedők számára, továbbá rámutat arra, hogy az esélyegyenlőség és a társadalmi felzárkózás előmozdítása elsősorban állami kötelezettség. Magyarország területén tartózkodó természetes személyekkel, ezek csoportjaival, valamint a jogi személyekkel és a jogi személyiséggel nem rendelkező szervezetekkel szemben e törvény rendelkezései szerint azonos tisztelettel és körültekintéssel, az egyéni szempontok azonos mértékű figyelembevételével kell eljárni.</w:t>
      </w:r>
    </w:p>
    <w:p w:rsidR="008C3642" w:rsidRPr="008C3642" w:rsidRDefault="008C3642" w:rsidP="008C3642">
      <w:pPr>
        <w:autoSpaceDE w:val="0"/>
        <w:autoSpaceDN w:val="0"/>
        <w:adjustRightInd w:val="0"/>
        <w:jc w:val="both"/>
        <w:rPr>
          <w:rFonts w:ascii="Arial" w:hAnsi="Arial" w:cs="Arial"/>
          <w:b/>
          <w:bCs/>
          <w:color w:val="404040" w:themeColor="text1" w:themeTint="BF"/>
          <w:sz w:val="20"/>
          <w:szCs w:val="20"/>
        </w:rPr>
      </w:pPr>
    </w:p>
    <w:p w:rsidR="008C3642" w:rsidRPr="008C3642" w:rsidRDefault="008C3642" w:rsidP="008C3642">
      <w:pPr>
        <w:autoSpaceDE w:val="0"/>
        <w:autoSpaceDN w:val="0"/>
        <w:adjustRightInd w:val="0"/>
        <w:jc w:val="both"/>
        <w:rPr>
          <w:rFonts w:ascii="Arial" w:hAnsi="Arial" w:cs="Arial"/>
          <w:b/>
          <w:bCs/>
          <w:color w:val="404040" w:themeColor="text1" w:themeTint="BF"/>
          <w:sz w:val="20"/>
          <w:szCs w:val="20"/>
        </w:rPr>
      </w:pPr>
      <w:r w:rsidRPr="008C3642">
        <w:rPr>
          <w:rFonts w:ascii="Arial" w:hAnsi="Arial" w:cs="Arial"/>
          <w:b/>
          <w:color w:val="404040" w:themeColor="text1" w:themeTint="BF"/>
          <w:sz w:val="20"/>
          <w:szCs w:val="20"/>
        </w:rPr>
        <w:t>Az Egyenlő Bánásmód Hatóságról és eljárásának részletes szabályairól szóló</w:t>
      </w:r>
      <w:r w:rsidRPr="008C3642">
        <w:rPr>
          <w:rFonts w:ascii="Arial" w:hAnsi="Arial" w:cs="Arial"/>
          <w:b/>
          <w:bCs/>
          <w:color w:val="404040" w:themeColor="text1" w:themeTint="BF"/>
          <w:sz w:val="20"/>
          <w:szCs w:val="20"/>
        </w:rPr>
        <w:t xml:space="preserve"> 362/2004. (XII. 26.) Korm. rendelet</w:t>
      </w:r>
    </w:p>
    <w:p w:rsidR="008C3642" w:rsidRPr="008C3642" w:rsidRDefault="008C3642" w:rsidP="008C3642">
      <w:pPr>
        <w:autoSpaceDE w:val="0"/>
        <w:autoSpaceDN w:val="0"/>
        <w:adjustRightInd w:val="0"/>
        <w:jc w:val="both"/>
        <w:rPr>
          <w:rFonts w:ascii="Arial" w:hAnsi="Arial" w:cs="Arial"/>
          <w:bCs/>
          <w:color w:val="404040" w:themeColor="text1" w:themeTint="BF"/>
          <w:sz w:val="20"/>
          <w:szCs w:val="20"/>
        </w:rPr>
      </w:pPr>
      <w:r w:rsidRPr="008C3642">
        <w:rPr>
          <w:rFonts w:ascii="Arial" w:hAnsi="Arial" w:cs="Arial"/>
          <w:bCs/>
          <w:color w:val="404040" w:themeColor="text1" w:themeTint="BF"/>
          <w:sz w:val="20"/>
          <w:szCs w:val="20"/>
        </w:rPr>
        <w:t>A fenti kormányrendelet tartalmazza az Egyenlő Bánásmód Hatóság eljárására vonatkozó részletes szabályokat, kitérve az eljárás megindításától, a tárgyaláson át, a bizonyítási eljárásra vonatkozó részletekre is. Meghatározza többek között az ügyfélkörét, illetve az ügyintézési határidőket is.</w:t>
      </w:r>
    </w:p>
    <w:p w:rsidR="008C3642" w:rsidRPr="008C3642" w:rsidRDefault="008C3642" w:rsidP="008C3642">
      <w:pPr>
        <w:autoSpaceDE w:val="0"/>
        <w:autoSpaceDN w:val="0"/>
        <w:adjustRightInd w:val="0"/>
        <w:jc w:val="both"/>
        <w:rPr>
          <w:rFonts w:ascii="Arial" w:hAnsi="Arial" w:cs="Arial"/>
          <w:b/>
          <w:bCs/>
          <w:color w:val="404040" w:themeColor="text1" w:themeTint="BF"/>
          <w:sz w:val="20"/>
          <w:szCs w:val="20"/>
        </w:rPr>
      </w:pPr>
    </w:p>
    <w:p w:rsidR="008C3642" w:rsidRPr="008C3642" w:rsidRDefault="008C3642" w:rsidP="008C3642">
      <w:pPr>
        <w:autoSpaceDE w:val="0"/>
        <w:autoSpaceDN w:val="0"/>
        <w:adjustRightInd w:val="0"/>
        <w:jc w:val="both"/>
        <w:rPr>
          <w:rFonts w:ascii="Arial" w:hAnsi="Arial" w:cs="Arial"/>
          <w:b/>
          <w:bCs/>
          <w:color w:val="404040" w:themeColor="text1" w:themeTint="BF"/>
          <w:sz w:val="20"/>
          <w:szCs w:val="20"/>
        </w:rPr>
      </w:pPr>
      <w:r w:rsidRPr="008C3642">
        <w:rPr>
          <w:rFonts w:ascii="Arial" w:hAnsi="Arial" w:cs="Arial"/>
          <w:b/>
          <w:bCs/>
          <w:color w:val="404040" w:themeColor="text1" w:themeTint="BF"/>
          <w:sz w:val="20"/>
          <w:szCs w:val="20"/>
        </w:rPr>
        <w:t>A gyermekek védelméről és a gyámügyi igazgatásról szóló 1997. évi XXXI. törvény (továbbiakban: Gyvt.)</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Az Országgyűlés a jövő nemzedékért érzett felelősségétől vezérelve a meghatározott gyermeki jogok érvényre juttatása érdekében alkotta meg e törvényt. A szülői kötelességek teljesítéséhez, illetve a gyermekek veszélyeztetettségének megelőzéséhez és megszüntetéséhez, a hiányzó szülői gondoskodás pótlásához, valamint a gyermekvédelmi gondoskodásból kikerült fiatal felnőttek társadalmi beilleszkedéséhez segít iránymutatást adni.</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p>
    <w:p w:rsidR="008C3642" w:rsidRPr="008C3642" w:rsidRDefault="008C3642" w:rsidP="008C3642">
      <w:pPr>
        <w:autoSpaceDE w:val="0"/>
        <w:autoSpaceDN w:val="0"/>
        <w:adjustRightInd w:val="0"/>
        <w:jc w:val="both"/>
        <w:rPr>
          <w:rFonts w:ascii="Arial" w:hAnsi="Arial" w:cs="Arial"/>
          <w:b/>
          <w:bCs/>
          <w:color w:val="404040" w:themeColor="text1" w:themeTint="BF"/>
          <w:sz w:val="20"/>
          <w:szCs w:val="20"/>
        </w:rPr>
      </w:pPr>
      <w:r w:rsidRPr="008C3642">
        <w:rPr>
          <w:rFonts w:ascii="Arial" w:hAnsi="Arial" w:cs="Arial"/>
          <w:color w:val="404040" w:themeColor="text1" w:themeTint="BF"/>
          <w:sz w:val="20"/>
          <w:szCs w:val="20"/>
        </w:rPr>
        <w:t xml:space="preserve">  </w:t>
      </w:r>
      <w:r w:rsidRPr="008C3642">
        <w:rPr>
          <w:rFonts w:ascii="Arial" w:hAnsi="Arial" w:cs="Arial"/>
          <w:b/>
          <w:bCs/>
          <w:color w:val="404040" w:themeColor="text1" w:themeTint="BF"/>
          <w:sz w:val="20"/>
          <w:szCs w:val="20"/>
        </w:rPr>
        <w:t>A fogyatékos személyek jogairól és esélyegyenlőségük biztosításáról szóló 1998. évi XXVI. törvény</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A fogyatékos emberek a társadalom egyenlő méltóságú, egyenrangú tagjai, akik a mindenkit megillető jogokkal és lehetőségekkel csak jelentős nehézségek árán vagy egyáltalán nem képesek élni. Fenti törvény a fogyatékos személyek jogainak, a jogok érvényesítési eszközeinek meghatározása, továbbá a fogyatékos személyek számára nyújtandó komplex rehabilitáció szabályozása, és mindezek eredményeként a fogyatékos személyek esélyegyenlőségének, önálló életvitelének és a társadalmi életben való aktív részvételének biztosítása érdekében jött létre, valamint tartalmazza a fogyatékos személyek támogatására vonatkozó részletes szabályokat.</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p>
    <w:p w:rsidR="008C3642" w:rsidRDefault="008C3642">
      <w:pPr>
        <w:rPr>
          <w:rFonts w:ascii="Arial" w:hAnsi="Arial" w:cs="Arial"/>
          <w:b/>
          <w:color w:val="404040" w:themeColor="text1" w:themeTint="BF"/>
          <w:sz w:val="20"/>
          <w:szCs w:val="20"/>
        </w:rPr>
      </w:pPr>
      <w:r>
        <w:rPr>
          <w:rFonts w:ascii="Arial" w:hAnsi="Arial" w:cs="Arial"/>
          <w:b/>
          <w:color w:val="404040" w:themeColor="text1" w:themeTint="BF"/>
          <w:sz w:val="20"/>
          <w:szCs w:val="20"/>
        </w:rPr>
        <w:br w:type="page"/>
      </w:r>
    </w:p>
    <w:p w:rsidR="008C3642" w:rsidRPr="008C3642" w:rsidRDefault="008C3642" w:rsidP="008C3642">
      <w:pPr>
        <w:autoSpaceDE w:val="0"/>
        <w:autoSpaceDN w:val="0"/>
        <w:adjustRightInd w:val="0"/>
        <w:jc w:val="both"/>
        <w:rPr>
          <w:rFonts w:ascii="Arial" w:hAnsi="Arial" w:cs="Arial"/>
          <w:b/>
          <w:color w:val="404040" w:themeColor="text1" w:themeTint="BF"/>
          <w:sz w:val="20"/>
          <w:szCs w:val="20"/>
        </w:rPr>
      </w:pPr>
      <w:r w:rsidRPr="008C3642">
        <w:rPr>
          <w:rFonts w:ascii="Arial" w:hAnsi="Arial" w:cs="Arial"/>
          <w:b/>
          <w:color w:val="404040" w:themeColor="text1" w:themeTint="BF"/>
          <w:sz w:val="20"/>
          <w:szCs w:val="20"/>
        </w:rPr>
        <w:lastRenderedPageBreak/>
        <w:t xml:space="preserve">A foglalkoztatásra irányuló egyes törvények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Az alábbi törvények tartalmazzák a foglalkoztatás során érvényesülendő egyenlő bánásmód követelményeit: </w:t>
      </w:r>
    </w:p>
    <w:p w:rsidR="008C3642" w:rsidRPr="008C3642" w:rsidRDefault="008C3642" w:rsidP="008C3642">
      <w:pPr>
        <w:numPr>
          <w:ilvl w:val="0"/>
          <w:numId w:val="1"/>
        </w:num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a munka törvénykönyvéről szóló 2012. évi I. törvény (a továbbiakban: Mt.), </w:t>
      </w:r>
    </w:p>
    <w:p w:rsidR="008C3642" w:rsidRPr="008C3642" w:rsidRDefault="008C3642" w:rsidP="008C3642">
      <w:pPr>
        <w:numPr>
          <w:ilvl w:val="0"/>
          <w:numId w:val="1"/>
        </w:num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a közszolgálati tisztviselőkről szóló 2011. évi CXCIX. törvény, </w:t>
      </w:r>
    </w:p>
    <w:p w:rsidR="008C3642" w:rsidRPr="008C3642" w:rsidRDefault="008C3642" w:rsidP="008C3642">
      <w:pPr>
        <w:numPr>
          <w:ilvl w:val="0"/>
          <w:numId w:val="1"/>
        </w:num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a közalkalmazottak jogállásáról szóló 1992. évi XXXIII. törvény.</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A fenti törvények szerint a munkaviszonnyal, így különösen a munka díjazásával kapcsolatban az egyenlő bánásmód követelményét meg kell tartani. E követelmény megsértésének orvoslása nem járhat más munkavállaló jogának megsértésével vagy csorbításával.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A munka egyenlő értékének megállapításánál különösen az elvégzett munka természetét, minőségét, mennyiségét, a munkakörülményeket, a szükséges szakképzettséget, fizikai vagy szellemi erőfeszítést, tapasztalatot, felelősséget, a munkaerő-piaci viszonyokat kell figyelembe venni.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p>
    <w:p w:rsidR="008C3642" w:rsidRPr="008C3642" w:rsidRDefault="008C3642" w:rsidP="008C3642">
      <w:pPr>
        <w:autoSpaceDE w:val="0"/>
        <w:autoSpaceDN w:val="0"/>
        <w:adjustRightInd w:val="0"/>
        <w:jc w:val="both"/>
        <w:rPr>
          <w:rFonts w:ascii="Arial" w:hAnsi="Arial" w:cs="Arial"/>
          <w:b/>
          <w:color w:val="404040" w:themeColor="text1" w:themeTint="BF"/>
          <w:sz w:val="20"/>
          <w:szCs w:val="20"/>
        </w:rPr>
      </w:pPr>
      <w:r w:rsidRPr="008C3642">
        <w:rPr>
          <w:rFonts w:ascii="Arial" w:hAnsi="Arial" w:cs="Arial"/>
          <w:b/>
          <w:color w:val="404040" w:themeColor="text1" w:themeTint="BF"/>
          <w:sz w:val="20"/>
          <w:szCs w:val="20"/>
        </w:rPr>
        <w:t xml:space="preserve">A közigazgatási hatósági eljárás és szolgáltatás általános szabályairól szóló 2004. évi CXL. törvény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A törvény az esélyegyenlőség érvényre juttatása érdekében számos eljárási alapelvet rögzít, amelyek közül a legfontosabbak a következők: </w:t>
      </w:r>
    </w:p>
    <w:p w:rsidR="008C3642" w:rsidRPr="008C3642" w:rsidRDefault="008C3642" w:rsidP="008C3642">
      <w:pPr>
        <w:numPr>
          <w:ilvl w:val="0"/>
          <w:numId w:val="1"/>
        </w:num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a közigazgatási hatóság a hatáskörének gyakorlásával nem élhet vissza, hatásköre gyakorlása során a szakszerűség, az egyszerűség és az ügyféllel való együttműködés követelményeinek megfelelően köteles eljárni. A hatóság ügyintézője jóhiszeműen, továbbá a jogszabály keretei között az ügyfél jogát és jogos - ideértve gazdasági - érdekét szem előtt tartva jár el, </w:t>
      </w:r>
    </w:p>
    <w:p w:rsidR="008C3642" w:rsidRPr="008C3642" w:rsidRDefault="008C3642" w:rsidP="008C3642">
      <w:pPr>
        <w:numPr>
          <w:ilvl w:val="0"/>
          <w:numId w:val="1"/>
        </w:num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a közigazgatási hatóság az eljárásban érintett kiskorú érdekeinek fokozott figyelembevételével jár el, </w:t>
      </w:r>
    </w:p>
    <w:p w:rsidR="008C3642" w:rsidRPr="008C3642" w:rsidRDefault="008C3642" w:rsidP="008C3642">
      <w:pPr>
        <w:numPr>
          <w:ilvl w:val="0"/>
          <w:numId w:val="1"/>
        </w:num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a közigazgatási hatóság az ügyfél jogát és jogos érdekét csak a közérdek és az ellenérdekű ügyfél jogának, jogos érdekének védelméhez szükséges mértékben korlátozhatja, </w:t>
      </w:r>
    </w:p>
    <w:p w:rsidR="008C3642" w:rsidRPr="008C3642" w:rsidRDefault="008C3642" w:rsidP="008C3642">
      <w:pPr>
        <w:numPr>
          <w:ilvl w:val="0"/>
          <w:numId w:val="1"/>
        </w:num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a közigazgatási hatóság védi az ügyfelek jóhiszeműen szerzett és gyakorolt jogait, ezek korlátait törvény határozza meg, </w:t>
      </w:r>
    </w:p>
    <w:p w:rsidR="008C3642" w:rsidRPr="008C3642" w:rsidRDefault="008C3642" w:rsidP="008C3642">
      <w:pPr>
        <w:numPr>
          <w:ilvl w:val="0"/>
          <w:numId w:val="1"/>
        </w:num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az ügyfeleket a hatósági eljárásban megilleti a törvény előtti egyenlőség, ügyeiket indokolatlan megkülönböztetés és részrehajlás nélkül kell elintézni, </w:t>
      </w:r>
    </w:p>
    <w:p w:rsidR="008C3642" w:rsidRPr="008C3642" w:rsidRDefault="008C3642" w:rsidP="008C3642">
      <w:pPr>
        <w:numPr>
          <w:ilvl w:val="0"/>
          <w:numId w:val="1"/>
        </w:num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a közigazgatási hatósági eljárásban tilos minden olyan különbségtétel, kizárás vagy korlátozás, amelynek célja vagy következménye a törvény előtti egyenlő bánásmód megsértése, az ügyfél és </w:t>
      </w:r>
      <w:r w:rsidRPr="008C3642">
        <w:rPr>
          <w:rFonts w:ascii="Arial" w:hAnsi="Arial" w:cs="Arial"/>
          <w:color w:val="404040" w:themeColor="text1" w:themeTint="BF"/>
          <w:sz w:val="20"/>
          <w:szCs w:val="20"/>
        </w:rPr>
        <w:lastRenderedPageBreak/>
        <w:t xml:space="preserve">az eljárás egyéb résztvevője a törvényben biztosított jogának csorbítása, </w:t>
      </w:r>
    </w:p>
    <w:p w:rsidR="008C3642" w:rsidRPr="008C3642" w:rsidRDefault="008C3642" w:rsidP="008C3642">
      <w:pPr>
        <w:numPr>
          <w:ilvl w:val="0"/>
          <w:numId w:val="1"/>
        </w:num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az eljárás során az egyenlő bánásmód követelményét meg kell tartani, </w:t>
      </w:r>
    </w:p>
    <w:p w:rsidR="008C3642" w:rsidRPr="008C3642" w:rsidRDefault="008C3642" w:rsidP="008C3642">
      <w:pPr>
        <w:numPr>
          <w:ilvl w:val="0"/>
          <w:numId w:val="1"/>
        </w:num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a közigazgatási hatóság az eljárás során az érintett ügyre vonatkozó tényeket veszi figyelembe, minden bizonyítékot súlyának megfelelően értékel, döntését valósághű tényállásra alapozza.</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p>
    <w:p w:rsidR="008C3642" w:rsidRPr="008C3642" w:rsidRDefault="008C3642" w:rsidP="008C3642">
      <w:pPr>
        <w:autoSpaceDE w:val="0"/>
        <w:autoSpaceDN w:val="0"/>
        <w:adjustRightInd w:val="0"/>
        <w:jc w:val="both"/>
        <w:rPr>
          <w:rFonts w:ascii="Arial" w:hAnsi="Arial" w:cs="Arial"/>
          <w:b/>
          <w:color w:val="404040" w:themeColor="text1" w:themeTint="BF"/>
          <w:sz w:val="20"/>
          <w:szCs w:val="20"/>
        </w:rPr>
      </w:pPr>
      <w:r w:rsidRPr="008C3642">
        <w:rPr>
          <w:rFonts w:ascii="Arial" w:hAnsi="Arial" w:cs="Arial"/>
          <w:b/>
          <w:color w:val="404040" w:themeColor="text1" w:themeTint="BF"/>
          <w:sz w:val="20"/>
          <w:szCs w:val="20"/>
        </w:rPr>
        <w:t>Kitekintés – általános jogszabályi keretek</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A releváns nemzetközi szerződések között elsőként az Egyesült Nemzetek Szövetségének (ENSZ) az égisze alatt 1948. december 10-én elfogadott Emberi Jogok Egyetemes Nyilatkozatát kell megemlítni, mely az alapvető emberi jogokat határozza meg.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Az egyetemes nyilatkozat ugyan nem tér ki külön az esélyegyenlőségre, valamint annak biztosítását szolgáló jogintézményekre, de az alapvető emberi jogok minden embert megilletnek, így az esélyegyenlőségi célcsoportok tagjait is. Ezen alapvető emberi jogokat Magyarország Alaptörvénye is deklarálja.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E dokumentum azon túlmenően, hogy az alapvető emberi jogokat deklarálja, azért is kiemelt jelentőségű, mert külön kitér a megkülönböztetés tilalmára, mely alapköve az esélyegyenlőség biztosításának.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Külön kiemelést érdemel e területen az egyes célcsoportokat érintő nemzetközi dokumentumok közül az ENSZ Gyermekek jogairól szóló, 1989. november 20-án kelt Egyezmény, melyhez Magyarország is csatlakozott, és az Országgyűlés az 1991. évi LXIV. törvénnyel hirdetett ki. Az Egyezmény a gyermekek jogait, és azok védelméhez kapcsolódó jogintézményeket 41 cikkben határozta meg.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Ugyancsak az ENSZ keretében 2006. december 13-án New Yorkban elfogadott, a Fogyatékossággal élő személyek jogairól szóló egyezményhez Magyarország szintén csatlakozott a kapcsolódó Fakultatív Jegyzőkönyv kihirdetéséről szóló 2007. évi XCII. törvény elfogadásával.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Nemzetközi szinten nem csak az ENSZ, hanem az Európai Unió is, és annak jogelőd szervei is, az 1980-as évektől társadalompolitikai kérdésekben is közös álláspontokat alakított ki, és az Európai Unió szervei az Európai Parlament valamint az Európai Tanács határozataiban és ajánlásaiban fogalmazta meg az esélyegyenlőség célterületeihez kapcsolódóan a szociális biztonságról, az oktatáshoz való jogokról és köztük a fogyatékosok jogairól kialakított iránymutatásait.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Ezen jogi dokumentumok közül kiemelést érdemel az Európa Tanács által 1961-ben elfogadott Európai Szociális Charta, melyet Magyarország az Európai Szociális Karta kihirdetéséről szóló 1999. évi C. törvény elfogadásával deklarált.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Az Európa 2020 stratégiai dokumentumot is fontos kiemelni, mely az Európai Unió 10 évre szóló növekedési stratégiája. A dokumentum alapján az oktatásban a lemorzsolódási arányt 10% alá kell csökkenteni, továbbá a szegénység/társadalmi kirekesztés ellen ható intézkedések sora pedig azt célozza, hogy legalább 20 millióval csökkenjen azok száma, akik nyomorban és társadalmi kirekesztettségben élnek. A </w:t>
      </w:r>
      <w:r w:rsidRPr="008C3642">
        <w:rPr>
          <w:rFonts w:ascii="Arial" w:hAnsi="Arial" w:cs="Arial"/>
          <w:color w:val="404040" w:themeColor="text1" w:themeTint="BF"/>
          <w:sz w:val="20"/>
          <w:szCs w:val="20"/>
        </w:rPr>
        <w:lastRenderedPageBreak/>
        <w:t xml:space="preserve">foglalkoztatás területének legfőbb célkitűzése, hogy 2020-ra biztosítani kell, hogy a 20–64 évesek körében a foglalkoztatottság aránya elérje a 75%-ot.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A nemzetközi jogi dokumentumok a magyar jogalkotásra is hatással voltak, melynek eredményeként született meg azok a jogszabályok, melyek az esélyegyenlőség tárgykörét jelenleg is szabályozzák.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A jogszabályi hierarchia alapján elsőként Magyarország Alaptörvényét kell megjelölni, mely alapvetően meghatározza a Magyarországon élő emberek alapvető jogait. Az Alaptörvény megfogalmazza mindazon jogokat, mely az országban élő embereket, állampolgárokat, és hazánkban tartózkodó, vagy letelepedett más államok polgárait is megilleti. Az Alaptörvény az alapvető emberi jogokat mindenki számára biztosítja, míg egyes, a jóléti államformából fakadó jogokat állampolgárainak nyújtja.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Az Alaptörvény felhatalmazása alapján számos sarkalatos törvény, vagy szakágazati jogszabály rendelkezik az esélyegyenlőség tárgykörét is érintő szabályokról, melyek közül kiemelést érdemel az egyenlő bánásmódról és az esélyegyenlőség előmozdításáról szóló 2003. évi CXXV. törvény, melynek 31. §</w:t>
      </w:r>
      <w:proofErr w:type="spellStart"/>
      <w:r w:rsidRPr="008C3642">
        <w:rPr>
          <w:rFonts w:ascii="Arial" w:hAnsi="Arial" w:cs="Arial"/>
          <w:color w:val="404040" w:themeColor="text1" w:themeTint="BF"/>
          <w:sz w:val="20"/>
          <w:szCs w:val="20"/>
        </w:rPr>
        <w:t>-a</w:t>
      </w:r>
      <w:proofErr w:type="spellEnd"/>
      <w:r w:rsidRPr="008C3642">
        <w:rPr>
          <w:rFonts w:ascii="Arial" w:hAnsi="Arial" w:cs="Arial"/>
          <w:color w:val="404040" w:themeColor="text1" w:themeTint="BF"/>
          <w:sz w:val="20"/>
          <w:szCs w:val="20"/>
        </w:rPr>
        <w:t xml:space="preserve"> mondja ki, hogy a települési önkormányzatoknak öt évre szóló helyi esélyegyenlőségi programot (HEP) kell készíteni.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A HEP időarányos megvalósulását, illetve a helyzetértékelés alapjául szolgáló körülmények esetleges megváltozását kétévente át kell tekinteni, az áttekintés alapján, szükség esetén a helyi esélyegyenlőségi programot felül kell vizsgálni, illetve az új helyzetnek megfelelően kell módosítani.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A települési helyi esélyegyenlőségi programok megléte alapfeltétele annak, hogy a települési önkormányzatok EU-s, vagy hazai pályázati forrásra pályázhassanak. Az esélyegyenlőség biztosítását, annak fejlesztési irányait nem csak jogszabályi szinten, hanem a hazai stratégia dokumentumok szintjén is deklarálják a jogalkotók.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Az esélyegyenlőség elmozdítása szempontjából releváns országos, megyei és helyi stratégiai dokumentumok közül az alábbiakat emeljük ki: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t xml:space="preserve">A Nemzeti Társadalmi Felzárkózási Stratégia (NTFS) az Európai Bizottság által 2011-ben jóváhagyott „A nemzeti romaintegrációs stratégiák uniós keretrendszere 2020-ig” című dokumentumban foglaltakhoz illeszkedik. Az NTFS a szegénység elleni fellépés érdekében megfogalmazott felzárkózás-politikát helyezi középpontba, emellett hangsúlyos célja a roma közösségek kirekesztése ellen ható folyamatok megelőzése, felszámolása. A stratégia célja, hogy a szegénység szempontjából meghatározó problématerületek – gyermekszegénység, romák helyzete, hátrányos helyzetű térségek – hosszú távú elképzeléseinek integrálását, kiegészítését, egységes célrendszerben történő kezelését kívánja előmozdítani, figyelemmel, a többi, a társadalmi felzárkózás szempontjából releváns stratégiára, így a gazdaságfejlesztéssel és foglalkoztatáspolitikára, a vidékfejlesztésre, az egészségügyi, szociálpolitikai, közigazgatási elképzelésekre. Beavatkozási területeihez szorosan illeszkedik a projekt, mint gyermekjólét, oktatás-képzés, foglalkoztatás, egészségügy, lakhatás és bevonás, szemléletformálás, a diszkriminációs jelenségek elleni küzdelem.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sym w:font="Symbol" w:char="F02D"/>
      </w:r>
      <w:r w:rsidRPr="008C3642">
        <w:rPr>
          <w:rFonts w:ascii="Arial" w:hAnsi="Arial" w:cs="Arial"/>
          <w:color w:val="404040" w:themeColor="text1" w:themeTint="BF"/>
          <w:sz w:val="20"/>
          <w:szCs w:val="20"/>
        </w:rPr>
        <w:t xml:space="preserve"> A Legyen Jobb a Gyerekeknek Nemzeti Stratégia szükségességét elsősorban az indokolta, hogy csökkentse a gyermekek és családjaik nélkülözését, javítsa a gyermekek fejlődési esélyeit. A törvény minden gyerekre kiterjed, de értelemszerűen azoknak a gyerekeknek kell prioritást kapniuk, akiknek érdekei a legjobban sérülnek, akiknél a nélkülözések a legjobban korlátozzák fejlődésüket. A Nemzeti </w:t>
      </w:r>
      <w:r w:rsidRPr="008C3642">
        <w:rPr>
          <w:rFonts w:ascii="Arial" w:hAnsi="Arial" w:cs="Arial"/>
          <w:color w:val="404040" w:themeColor="text1" w:themeTint="BF"/>
          <w:sz w:val="20"/>
          <w:szCs w:val="20"/>
        </w:rPr>
        <w:lastRenderedPageBreak/>
        <w:t xml:space="preserve">Stratégia másik fontos indoka a szegénységi ciklus megszakításának szükségessége, a gyermekek és a társadalom közös távlati érdeke.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sym w:font="Symbol" w:char="F02D"/>
      </w:r>
      <w:r w:rsidRPr="008C3642">
        <w:rPr>
          <w:rFonts w:ascii="Arial" w:hAnsi="Arial" w:cs="Arial"/>
          <w:color w:val="404040" w:themeColor="text1" w:themeTint="BF"/>
          <w:sz w:val="20"/>
          <w:szCs w:val="20"/>
        </w:rPr>
        <w:t xml:space="preserve"> Az Országgyűlés 2009-ben fogadta a Nemzeti Ifjúsági Stratégiáról készült dokumentumot (88/2009. (X. 29.) OGY határozat). A Stratégia az ifjúsági korosztályokkal kapcsolatos állami felelősség összefoglalása a 2009-2024 időszakra vonatkozóan. Részletezi az ifjúságpolitika hosszú távú társadalmi céljait, megvalósításukhoz az egyes területeken a horizontális és specifikus célokat, valamint ezekhez kapcsolódó részcélokat határoz meg. A horizontális céljai között szerepel az esélyegyenlőség elősegítése, specifikus céljai között pedig az ifjúsági korosztályok sikeres társadalmi integrációjához szükséges környezet fejlesztése – így kapcsolódik hozzá a jelenlegi projekt. A Stratégia megvalósítása kétéves cselekvési tervek mentén történik.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r w:rsidRPr="008C3642">
        <w:rPr>
          <w:rFonts w:ascii="Arial" w:hAnsi="Arial" w:cs="Arial"/>
          <w:color w:val="404040" w:themeColor="text1" w:themeTint="BF"/>
          <w:sz w:val="20"/>
          <w:szCs w:val="20"/>
        </w:rPr>
        <w:sym w:font="Symbol" w:char="F02D"/>
      </w:r>
      <w:r w:rsidRPr="008C3642">
        <w:rPr>
          <w:rFonts w:ascii="Arial" w:hAnsi="Arial" w:cs="Arial"/>
          <w:color w:val="404040" w:themeColor="text1" w:themeTint="BF"/>
          <w:sz w:val="20"/>
          <w:szCs w:val="20"/>
        </w:rPr>
        <w:t xml:space="preserve"> A Magyary Program (12.0) 3.2.3.3 „az esélyegyenlőség és egyenlő bánásmód biztosítása” pontban külön kiemeli az esélyegyenlőség előmozdításának fontosságát, amikor megfogalmazza, hogy a Kormány elkötelezett az esélyegyenlőség és egyenlő bánásmód egymással összefüggő alapelveinek a közigazgatás egészét érintő és tényleges érvényesítése iránt. </w:t>
      </w: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p>
    <w:p w:rsidR="008C3642" w:rsidRPr="008C3642" w:rsidRDefault="008C3642" w:rsidP="008C3642">
      <w:pPr>
        <w:autoSpaceDE w:val="0"/>
        <w:autoSpaceDN w:val="0"/>
        <w:adjustRightInd w:val="0"/>
        <w:jc w:val="both"/>
        <w:rPr>
          <w:rFonts w:ascii="Arial" w:hAnsi="Arial" w:cs="Arial"/>
          <w:color w:val="404040" w:themeColor="text1" w:themeTint="BF"/>
          <w:sz w:val="20"/>
          <w:szCs w:val="20"/>
        </w:rPr>
      </w:pPr>
    </w:p>
    <w:p w:rsidR="00967DBF" w:rsidRDefault="00967DBF" w:rsidP="008C3642">
      <w:pPr>
        <w:autoSpaceDE w:val="0"/>
        <w:autoSpaceDN w:val="0"/>
        <w:adjustRightInd w:val="0"/>
        <w:jc w:val="both"/>
        <w:rPr>
          <w:rFonts w:ascii="Arial" w:hAnsi="Arial" w:cs="Arial"/>
          <w:color w:val="404040" w:themeColor="text1" w:themeTint="BF"/>
          <w:sz w:val="20"/>
          <w:szCs w:val="20"/>
        </w:rPr>
      </w:pPr>
    </w:p>
    <w:sectPr w:rsidR="00967DBF" w:rsidSect="00174F2C">
      <w:headerReference w:type="even" r:id="rId8"/>
      <w:headerReference w:type="default" r:id="rId9"/>
      <w:footerReference w:type="even" r:id="rId10"/>
      <w:footerReference w:type="default" r:id="rId11"/>
      <w:headerReference w:type="first" r:id="rId12"/>
      <w:footerReference w:type="first" r:id="rId13"/>
      <w:pgSz w:w="11906" w:h="16838"/>
      <w:pgMar w:top="2098" w:right="1247" w:bottom="1701" w:left="1247" w:header="211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3E5" w:rsidRDefault="00C963E5" w:rsidP="00FC0811">
      <w:pPr>
        <w:spacing w:after="0" w:line="240" w:lineRule="auto"/>
      </w:pPr>
      <w:r>
        <w:separator/>
      </w:r>
    </w:p>
  </w:endnote>
  <w:endnote w:type="continuationSeparator" w:id="0">
    <w:p w:rsidR="00C963E5" w:rsidRDefault="00C963E5" w:rsidP="00FC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5B" w:rsidRDefault="00C1555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9B" w:rsidRDefault="00D2716C">
    <w:pPr>
      <w:pStyle w:val="llb"/>
    </w:pPr>
    <w:r>
      <w:rPr>
        <w:rFonts w:ascii="Arial" w:hAnsi="Arial" w:cs="Arial"/>
        <w:noProof/>
        <w:color w:val="404040" w:themeColor="text1" w:themeTint="BF"/>
        <w:sz w:val="20"/>
        <w:szCs w:val="20"/>
        <w:lang w:eastAsia="hu-HU"/>
      </w:rPr>
      <w:drawing>
        <wp:anchor distT="0" distB="0" distL="114300" distR="114300" simplePos="0" relativeHeight="251661312" behindDoc="1" locked="0" layoutInCell="1" allowOverlap="1" wp14:anchorId="3AB2B60A" wp14:editId="74FE75AC">
          <wp:simplePos x="0" y="0"/>
          <wp:positionH relativeFrom="margin">
            <wp:align>left</wp:align>
          </wp:positionH>
          <wp:positionV relativeFrom="paragraph">
            <wp:posOffset>-466725</wp:posOffset>
          </wp:positionV>
          <wp:extent cx="1724025" cy="831240"/>
          <wp:effectExtent l="0" t="0" r="0" b="698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yary_fina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831240"/>
                  </a:xfrm>
                  <a:prstGeom prst="rect">
                    <a:avLst/>
                  </a:prstGeom>
                </pic:spPr>
              </pic:pic>
            </a:graphicData>
          </a:graphic>
          <wp14:sizeRelH relativeFrom="page">
            <wp14:pctWidth>0</wp14:pctWidth>
          </wp14:sizeRelH>
          <wp14:sizeRelV relativeFrom="page">
            <wp14:pctHeight>0</wp14:pctHeight>
          </wp14:sizeRelV>
        </wp:anchor>
      </w:drawing>
    </w:r>
    <w:r w:rsidR="0071199B">
      <w:rPr>
        <w:noProof/>
        <w:lang w:eastAsia="hu-HU"/>
      </w:rPr>
      <w:drawing>
        <wp:anchor distT="0" distB="0" distL="114300" distR="114300" simplePos="0" relativeHeight="251659264" behindDoc="1" locked="0" layoutInCell="1" allowOverlap="1" wp14:anchorId="186C45E2" wp14:editId="0CC1B2C4">
          <wp:simplePos x="0" y="0"/>
          <wp:positionH relativeFrom="rightMargin">
            <wp:posOffset>-3329940</wp:posOffset>
          </wp:positionH>
          <wp:positionV relativeFrom="bottomMargin">
            <wp:posOffset>-1781810</wp:posOffset>
          </wp:positionV>
          <wp:extent cx="4108450" cy="2839085"/>
          <wp:effectExtent l="0" t="0" r="6350" b="0"/>
          <wp:wrapTight wrapText="bothSides">
            <wp:wrapPolygon edited="0">
              <wp:start x="13921" y="1304"/>
              <wp:lineTo x="12720" y="1739"/>
              <wp:lineTo x="8914" y="3478"/>
              <wp:lineTo x="7812" y="4928"/>
              <wp:lineTo x="6610" y="6232"/>
              <wp:lineTo x="5008" y="8551"/>
              <wp:lineTo x="3806" y="10870"/>
              <wp:lineTo x="2904" y="13189"/>
              <wp:lineTo x="2304" y="15508"/>
              <wp:lineTo x="1903" y="17827"/>
              <wp:lineTo x="1602" y="21450"/>
              <wp:lineTo x="21533" y="21450"/>
              <wp:lineTo x="21533" y="2174"/>
              <wp:lineTo x="17527" y="1304"/>
              <wp:lineTo x="13921" y="1304"/>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hivo_kedv_2020_A4_b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08450" cy="28390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5B" w:rsidRDefault="00C1555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3E5" w:rsidRDefault="00C963E5" w:rsidP="00FC0811">
      <w:pPr>
        <w:spacing w:after="0" w:line="240" w:lineRule="auto"/>
      </w:pPr>
      <w:r>
        <w:separator/>
      </w:r>
    </w:p>
  </w:footnote>
  <w:footnote w:type="continuationSeparator" w:id="0">
    <w:p w:rsidR="00C963E5" w:rsidRDefault="00C963E5" w:rsidP="00FC0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5B" w:rsidRDefault="00C1555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11" w:rsidRPr="00BF5C52" w:rsidRDefault="00FC0811" w:rsidP="00BF5C52">
    <w:pPr>
      <w:pStyle w:val="lfej"/>
      <w:tabs>
        <w:tab w:val="clear" w:pos="4536"/>
        <w:tab w:val="clear"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55B" w:rsidRDefault="00C1555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F485C"/>
    <w:multiLevelType w:val="hybridMultilevel"/>
    <w:tmpl w:val="80C6B276"/>
    <w:lvl w:ilvl="0" w:tplc="040E0005">
      <w:start w:val="1"/>
      <w:numFmt w:val="bullet"/>
      <w:lvlText w:val=""/>
      <w:lvlJc w:val="left"/>
      <w:pPr>
        <w:ind w:left="1571" w:hanging="360"/>
      </w:pPr>
      <w:rPr>
        <w:rFonts w:ascii="Wingdings" w:hAnsi="Wingdings"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11"/>
    <w:rsid w:val="00022083"/>
    <w:rsid w:val="00025585"/>
    <w:rsid w:val="0007480B"/>
    <w:rsid w:val="00081A6B"/>
    <w:rsid w:val="000A7BA5"/>
    <w:rsid w:val="000D4334"/>
    <w:rsid w:val="000F2BA7"/>
    <w:rsid w:val="0016323C"/>
    <w:rsid w:val="00174F2C"/>
    <w:rsid w:val="001F69B0"/>
    <w:rsid w:val="00254A5D"/>
    <w:rsid w:val="002D3548"/>
    <w:rsid w:val="003C7633"/>
    <w:rsid w:val="003F6612"/>
    <w:rsid w:val="004724B6"/>
    <w:rsid w:val="00542C80"/>
    <w:rsid w:val="005942AA"/>
    <w:rsid w:val="005A5600"/>
    <w:rsid w:val="00633C8C"/>
    <w:rsid w:val="00685FED"/>
    <w:rsid w:val="00686A58"/>
    <w:rsid w:val="0071199B"/>
    <w:rsid w:val="007864B9"/>
    <w:rsid w:val="007F327B"/>
    <w:rsid w:val="00810DB4"/>
    <w:rsid w:val="00834D14"/>
    <w:rsid w:val="008C3642"/>
    <w:rsid w:val="009039F9"/>
    <w:rsid w:val="00940C79"/>
    <w:rsid w:val="00952A8C"/>
    <w:rsid w:val="00967DBF"/>
    <w:rsid w:val="009A447E"/>
    <w:rsid w:val="00A35909"/>
    <w:rsid w:val="00A36C06"/>
    <w:rsid w:val="00AA35E5"/>
    <w:rsid w:val="00B30C47"/>
    <w:rsid w:val="00BC6C2E"/>
    <w:rsid w:val="00BF5C52"/>
    <w:rsid w:val="00C1555B"/>
    <w:rsid w:val="00C963E5"/>
    <w:rsid w:val="00CE0604"/>
    <w:rsid w:val="00D2716C"/>
    <w:rsid w:val="00DD4376"/>
    <w:rsid w:val="00E7619B"/>
    <w:rsid w:val="00EE5FC6"/>
    <w:rsid w:val="00F36F63"/>
    <w:rsid w:val="00F43981"/>
    <w:rsid w:val="00FA0FA5"/>
    <w:rsid w:val="00FC08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672E90-0770-4F1A-9EFC-78E6E02E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FC0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FC08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FC0811"/>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FC08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C0811"/>
    <w:pPr>
      <w:tabs>
        <w:tab w:val="center" w:pos="4536"/>
        <w:tab w:val="right" w:pos="9072"/>
      </w:tabs>
      <w:spacing w:after="0" w:line="240" w:lineRule="auto"/>
    </w:pPr>
  </w:style>
  <w:style w:type="character" w:customStyle="1" w:styleId="lfejChar">
    <w:name w:val="Élőfej Char"/>
    <w:basedOn w:val="Bekezdsalapbettpusa"/>
    <w:link w:val="lfej"/>
    <w:uiPriority w:val="99"/>
    <w:rsid w:val="00FC0811"/>
  </w:style>
  <w:style w:type="paragraph" w:styleId="llb">
    <w:name w:val="footer"/>
    <w:basedOn w:val="Norml"/>
    <w:link w:val="llbChar"/>
    <w:uiPriority w:val="99"/>
    <w:unhideWhenUsed/>
    <w:rsid w:val="00FC0811"/>
    <w:pPr>
      <w:tabs>
        <w:tab w:val="center" w:pos="4536"/>
        <w:tab w:val="right" w:pos="9072"/>
      </w:tabs>
      <w:spacing w:after="0" w:line="240" w:lineRule="auto"/>
    </w:pPr>
  </w:style>
  <w:style w:type="character" w:customStyle="1" w:styleId="llbChar">
    <w:name w:val="Élőláb Char"/>
    <w:basedOn w:val="Bekezdsalapbettpusa"/>
    <w:link w:val="llb"/>
    <w:uiPriority w:val="99"/>
    <w:rsid w:val="00FC0811"/>
  </w:style>
  <w:style w:type="paragraph" w:styleId="Buborkszveg">
    <w:name w:val="Balloon Text"/>
    <w:basedOn w:val="Norml"/>
    <w:link w:val="BuborkszvegChar"/>
    <w:uiPriority w:val="99"/>
    <w:semiHidden/>
    <w:unhideWhenUsed/>
    <w:rsid w:val="00FC081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0811"/>
    <w:rPr>
      <w:rFonts w:ascii="Tahoma" w:hAnsi="Tahoma" w:cs="Tahoma"/>
      <w:sz w:val="16"/>
      <w:szCs w:val="16"/>
    </w:rPr>
  </w:style>
  <w:style w:type="paragraph" w:styleId="Nincstrkz">
    <w:name w:val="No Spacing"/>
    <w:uiPriority w:val="1"/>
    <w:qFormat/>
    <w:rsid w:val="00FC0811"/>
    <w:pPr>
      <w:spacing w:after="0" w:line="240" w:lineRule="auto"/>
    </w:pPr>
  </w:style>
  <w:style w:type="character" w:customStyle="1" w:styleId="Cmsor1Char">
    <w:name w:val="Címsor 1 Char"/>
    <w:basedOn w:val="Bekezdsalapbettpusa"/>
    <w:link w:val="Cmsor1"/>
    <w:uiPriority w:val="9"/>
    <w:rsid w:val="00FC0811"/>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FC0811"/>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FC0811"/>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FC0811"/>
    <w:rPr>
      <w:rFonts w:asciiTheme="majorHAnsi" w:eastAsiaTheme="majorEastAsia" w:hAnsiTheme="majorHAnsi" w:cstheme="majorBidi"/>
      <w:b/>
      <w:bCs/>
      <w:i/>
      <w:iCs/>
      <w:color w:val="4F81BD" w:themeColor="accent1"/>
    </w:rPr>
  </w:style>
  <w:style w:type="paragraph" w:styleId="Cm">
    <w:name w:val="Title"/>
    <w:basedOn w:val="Norml"/>
    <w:next w:val="Norml"/>
    <w:link w:val="CmChar"/>
    <w:uiPriority w:val="10"/>
    <w:qFormat/>
    <w:rsid w:val="00FC08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FC0811"/>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FC08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FC0811"/>
    <w:rPr>
      <w:rFonts w:asciiTheme="majorHAnsi" w:eastAsiaTheme="majorEastAsia" w:hAnsiTheme="majorHAnsi" w:cstheme="majorBidi"/>
      <w:i/>
      <w:iCs/>
      <w:color w:val="4F81BD" w:themeColor="accent1"/>
      <w:spacing w:val="15"/>
      <w:sz w:val="24"/>
      <w:szCs w:val="24"/>
    </w:rPr>
  </w:style>
  <w:style w:type="character" w:styleId="Erskiemels">
    <w:name w:val="Intense Emphasis"/>
    <w:basedOn w:val="Bekezdsalapbettpusa"/>
    <w:uiPriority w:val="21"/>
    <w:qFormat/>
    <w:rsid w:val="00FC0811"/>
    <w:rPr>
      <w:b/>
      <w:bCs/>
      <w:i/>
      <w:iCs/>
      <w:color w:val="4F81BD" w:themeColor="accent1"/>
    </w:rPr>
  </w:style>
  <w:style w:type="character" w:customStyle="1" w:styleId="kvr">
    <w:name w:val="kövér"/>
    <w:basedOn w:val="Bekezdsalapbettpusa"/>
    <w:rsid w:val="00DD4376"/>
    <w:rPr>
      <w:b/>
      <w:color w:val="404040" w:themeColor="text1" w:themeTint="BF"/>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6B35-4C43-4296-ABD3-B9EC9071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1787</Words>
  <Characters>12333</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user</cp:lastModifiedBy>
  <cp:revision>2</cp:revision>
  <cp:lastPrinted>2014-05-07T10:41:00Z</cp:lastPrinted>
  <dcterms:created xsi:type="dcterms:W3CDTF">2016-05-13T09:08:00Z</dcterms:created>
  <dcterms:modified xsi:type="dcterms:W3CDTF">2016-05-13T09:08:00Z</dcterms:modified>
</cp:coreProperties>
</file>